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pPr>
        <w:tabs>
          <w:tab w:val="left" w:pos="315"/>
          <w:tab w:val="left" w:pos="8820"/>
        </w:tabs>
        <w:spacing w:line="500" w:lineRule="auto"/>
        <w:ind w:right="267"/>
        <w:jc w:val="center"/>
        <w:rPr>
          <w:rFonts w:ascii="仿宋_GB2312" w:hAnsi="仿宋_GB2312" w:eastAsia="仿宋_GB2312" w:cs="仿宋_GB2312"/>
          <w:b/>
          <w:sz w:val="48"/>
        </w:rPr>
      </w:pPr>
    </w:p>
    <w:p>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pPr>
        <w:tabs>
          <w:tab w:val="left" w:pos="315"/>
          <w:tab w:val="left" w:pos="8820"/>
        </w:tabs>
        <w:spacing w:line="500" w:lineRule="auto"/>
        <w:ind w:right="267"/>
        <w:jc w:val="center"/>
        <w:rPr>
          <w:rFonts w:ascii="仿宋_GB2312" w:hAnsi="仿宋_GB2312" w:eastAsia="仿宋_GB2312" w:cs="仿宋_GB2312"/>
          <w:sz w:val="44"/>
        </w:rPr>
      </w:pPr>
    </w:p>
    <w:p>
      <w:pPr>
        <w:tabs>
          <w:tab w:val="left" w:pos="315"/>
          <w:tab w:val="left" w:pos="8820"/>
        </w:tabs>
        <w:ind w:right="267"/>
        <w:rPr>
          <w:rFonts w:ascii="仿宋_GB2312" w:hAnsi="仿宋_GB2312" w:eastAsia="仿宋_GB2312" w:cs="仿宋_GB2312"/>
          <w:sz w:val="44"/>
        </w:rPr>
      </w:pPr>
    </w:p>
    <w:p>
      <w:pPr>
        <w:tabs>
          <w:tab w:val="left" w:pos="315"/>
          <w:tab w:val="left" w:pos="8820"/>
        </w:tabs>
        <w:spacing w:line="500" w:lineRule="auto"/>
        <w:ind w:right="267"/>
        <w:rPr>
          <w:rFonts w:ascii="仿宋_GB2312" w:hAnsi="仿宋_GB2312" w:eastAsia="仿宋_GB2312" w:cs="仿宋_GB2312"/>
          <w:b/>
          <w:sz w:val="36"/>
        </w:rPr>
      </w:pPr>
    </w:p>
    <w:p>
      <w:pPr>
        <w:tabs>
          <w:tab w:val="left" w:pos="315"/>
          <w:tab w:val="left" w:pos="8820"/>
        </w:tabs>
        <w:spacing w:line="500" w:lineRule="auto"/>
        <w:ind w:right="267"/>
        <w:jc w:val="center"/>
        <w:rPr>
          <w:rFonts w:hint="eastAsia" w:ascii="宋体" w:hAnsi="宋体" w:eastAsia="宋体" w:cs="宋体"/>
          <w:sz w:val="32"/>
        </w:rPr>
      </w:pPr>
    </w:p>
    <w:p>
      <w:pPr>
        <w:tabs>
          <w:tab w:val="left" w:pos="315"/>
          <w:tab w:val="left" w:pos="8820"/>
        </w:tabs>
        <w:spacing w:line="500" w:lineRule="auto"/>
        <w:ind w:right="267"/>
        <w:jc w:val="center"/>
        <w:rPr>
          <w:rFonts w:ascii="微软简标宋" w:hAnsi="微软简标宋" w:eastAsia="微软简标宋" w:cs="微软简标宋"/>
          <w:b/>
          <w:sz w:val="52"/>
        </w:rPr>
      </w:pPr>
    </w:p>
    <w:p>
      <w:pPr>
        <w:tabs>
          <w:tab w:val="left" w:pos="315"/>
          <w:tab w:val="left" w:pos="8820"/>
        </w:tabs>
        <w:spacing w:line="500" w:lineRule="auto"/>
        <w:ind w:right="267"/>
        <w:jc w:val="center"/>
        <w:rPr>
          <w:rFonts w:ascii="微软简标宋" w:hAnsi="微软简标宋" w:eastAsia="微软简标宋" w:cs="微软简标宋"/>
          <w:b/>
          <w:sz w:val="52"/>
        </w:rPr>
      </w:pPr>
    </w:p>
    <w:p>
      <w:pPr>
        <w:tabs>
          <w:tab w:val="left" w:pos="315"/>
          <w:tab w:val="left" w:pos="8820"/>
        </w:tabs>
        <w:spacing w:line="500" w:lineRule="auto"/>
        <w:ind w:right="267"/>
        <w:jc w:val="center"/>
        <w:rPr>
          <w:rFonts w:ascii="微软简标宋" w:hAnsi="微软简标宋" w:eastAsia="微软简标宋" w:cs="微软简标宋"/>
          <w:b/>
          <w:sz w:val="52"/>
        </w:rPr>
      </w:pPr>
    </w:p>
    <w:p>
      <w:pPr>
        <w:tabs>
          <w:tab w:val="left" w:pos="315"/>
          <w:tab w:val="left" w:pos="8820"/>
        </w:tabs>
        <w:spacing w:line="600" w:lineRule="auto"/>
        <w:ind w:right="267" w:firstLine="321" w:firstLineChars="100"/>
        <w:jc w:val="left"/>
        <w:rPr>
          <w:rFonts w:hint="eastAsia" w:ascii="宋体" w:hAnsi="宋体" w:eastAsia="宋体" w:cs="宋体"/>
          <w:b/>
          <w:sz w:val="32"/>
          <w:szCs w:val="32"/>
        </w:rPr>
      </w:pPr>
      <w:r>
        <w:rPr>
          <w:rFonts w:ascii="宋体" w:hAnsi="宋体" w:eastAsia="宋体" w:cs="宋体"/>
          <w:b/>
          <w:sz w:val="32"/>
          <w:szCs w:val="32"/>
        </w:rPr>
        <w:t xml:space="preserve">项目名称: </w:t>
      </w:r>
      <w:r>
        <w:rPr>
          <w:rFonts w:hint="eastAsia" w:ascii="宋体" w:hAnsi="宋体" w:eastAsia="宋体" w:cs="宋体"/>
          <w:b/>
          <w:sz w:val="32"/>
          <w:szCs w:val="32"/>
        </w:rPr>
        <w:t>周口市教育体育局沙颍河体育公园智能</w:t>
      </w:r>
    </w:p>
    <w:p>
      <w:pPr>
        <w:tabs>
          <w:tab w:val="left" w:pos="315"/>
          <w:tab w:val="left" w:pos="8820"/>
        </w:tabs>
        <w:spacing w:line="600" w:lineRule="auto"/>
        <w:ind w:right="267" w:firstLine="1928" w:firstLineChars="600"/>
        <w:jc w:val="left"/>
        <w:rPr>
          <w:rFonts w:hint="eastAsia" w:ascii="宋体" w:hAnsi="宋体" w:eastAsia="宋体" w:cs="宋体"/>
          <w:b/>
          <w:sz w:val="32"/>
          <w:szCs w:val="32"/>
        </w:rPr>
      </w:pPr>
      <w:r>
        <w:rPr>
          <w:rFonts w:hint="eastAsia" w:ascii="宋体" w:hAnsi="宋体" w:eastAsia="宋体" w:cs="宋体"/>
          <w:b/>
          <w:sz w:val="32"/>
          <w:szCs w:val="32"/>
        </w:rPr>
        <w:t>健身器材采购项目</w:t>
      </w:r>
    </w:p>
    <w:p>
      <w:pPr>
        <w:tabs>
          <w:tab w:val="left" w:pos="315"/>
          <w:tab w:val="left" w:pos="8820"/>
        </w:tabs>
        <w:spacing w:line="600" w:lineRule="auto"/>
        <w:ind w:right="267" w:firstLine="321" w:firstLineChars="100"/>
        <w:jc w:val="left"/>
        <w:rPr>
          <w:rFonts w:hint="eastAsia" w:ascii="宋体" w:hAnsi="宋体" w:eastAsia="宋体" w:cs="宋体"/>
          <w:b/>
          <w:sz w:val="32"/>
          <w:szCs w:val="32"/>
        </w:rPr>
      </w:pPr>
      <w:r>
        <w:rPr>
          <w:rFonts w:ascii="宋体" w:hAnsi="宋体" w:eastAsia="宋体" w:cs="宋体"/>
          <w:b/>
          <w:sz w:val="32"/>
          <w:szCs w:val="32"/>
        </w:rPr>
        <w:t>项目编号</w:t>
      </w:r>
      <w:r>
        <w:rPr>
          <w:rFonts w:hint="eastAsia" w:ascii="宋体" w:hAnsi="宋体" w:eastAsia="宋体" w:cs="宋体"/>
          <w:b/>
          <w:sz w:val="32"/>
          <w:szCs w:val="32"/>
        </w:rPr>
        <w:t>：周财磋商采购-2025-96</w:t>
      </w:r>
    </w:p>
    <w:p>
      <w:pPr>
        <w:spacing w:after="120"/>
        <w:rPr>
          <w:rFonts w:ascii="微软简标宋" w:hAnsi="微软简标宋" w:eastAsia="微软简标宋" w:cs="微软简标宋"/>
          <w:b/>
          <w:sz w:val="52"/>
        </w:rPr>
      </w:pPr>
    </w:p>
    <w:p>
      <w:pPr>
        <w:spacing w:after="120"/>
        <w:jc w:val="center"/>
        <w:rPr>
          <w:rFonts w:hint="eastAsia" w:ascii="宋体" w:hAnsi="宋体" w:eastAsia="宋体" w:cs="宋体"/>
          <w:b/>
          <w:sz w:val="32"/>
        </w:rPr>
      </w:pPr>
      <w:r>
        <w:rPr>
          <w:rFonts w:hint="eastAsia" w:ascii="宋体" w:hAnsi="宋体" w:eastAsia="宋体" w:cs="宋体"/>
          <w:b/>
          <w:sz w:val="32"/>
        </w:rPr>
        <w:t>2025</w:t>
      </w:r>
      <w:r>
        <w:rPr>
          <w:rFonts w:ascii="宋体" w:hAnsi="宋体" w:eastAsia="宋体" w:cs="宋体"/>
          <w:b/>
          <w:sz w:val="32"/>
        </w:rPr>
        <w:t>年</w:t>
      </w:r>
      <w:r>
        <w:rPr>
          <w:rFonts w:hint="eastAsia" w:ascii="宋体" w:hAnsi="宋体" w:eastAsia="宋体" w:cs="宋体"/>
          <w:b/>
          <w:sz w:val="32"/>
        </w:rPr>
        <w:t>9</w:t>
      </w:r>
      <w:r>
        <w:rPr>
          <w:rFonts w:ascii="宋体" w:hAnsi="宋体" w:eastAsia="宋体" w:cs="宋体"/>
          <w:b/>
          <w:sz w:val="32"/>
        </w:rPr>
        <w:t>月</w:t>
      </w:r>
    </w:p>
    <w:p>
      <w:pPr>
        <w:spacing w:line="560" w:lineRule="auto"/>
        <w:jc w:val="center"/>
        <w:rPr>
          <w:rFonts w:hint="eastAsia" w:ascii="宋体" w:hAnsi="宋体" w:eastAsia="宋体" w:cs="宋体"/>
          <w:b/>
          <w:sz w:val="32"/>
        </w:rPr>
      </w:pPr>
    </w:p>
    <w:p>
      <w:pPr>
        <w:spacing w:line="560" w:lineRule="auto"/>
        <w:jc w:val="center"/>
        <w:rPr>
          <w:rFonts w:hint="eastAsia" w:ascii="宋体" w:hAnsi="宋体" w:eastAsia="宋体" w:cs="宋体"/>
          <w:b/>
          <w:sz w:val="32"/>
        </w:rPr>
      </w:pPr>
      <w:r>
        <w:rPr>
          <w:rFonts w:ascii="宋体" w:hAnsi="宋体" w:eastAsia="宋体" w:cs="宋体"/>
          <w:b/>
          <w:sz w:val="32"/>
        </w:rPr>
        <w:t>目     录</w:t>
      </w:r>
    </w:p>
    <w:p>
      <w:pPr>
        <w:rPr>
          <w:rFonts w:hint="eastAsia" w:ascii="宋体" w:hAnsi="宋体" w:eastAsia="宋体" w:cs="宋体"/>
          <w:b/>
          <w:sz w:val="32"/>
        </w:rPr>
      </w:pPr>
    </w:p>
    <w:p>
      <w:pPr>
        <w:spacing w:line="800" w:lineRule="auto"/>
        <w:rPr>
          <w:rFonts w:hint="eastAsia" w:ascii="宋体" w:hAnsi="宋体" w:eastAsia="宋体" w:cs="宋体"/>
          <w:b/>
          <w:sz w:val="32"/>
        </w:rPr>
      </w:pPr>
      <w:r>
        <w:rPr>
          <w:rFonts w:ascii="宋体" w:hAnsi="宋体" w:eastAsia="宋体" w:cs="宋体"/>
          <w:b/>
          <w:sz w:val="32"/>
        </w:rPr>
        <w:t>第一章  竞争性磋商邀请函 .........................3</w:t>
      </w:r>
    </w:p>
    <w:p>
      <w:pPr>
        <w:spacing w:line="800" w:lineRule="auto"/>
        <w:rPr>
          <w:rFonts w:hint="eastAsia" w:ascii="宋体" w:hAnsi="宋体" w:eastAsia="宋体" w:cs="宋体"/>
          <w:b/>
          <w:sz w:val="32"/>
        </w:rPr>
      </w:pPr>
      <w:r>
        <w:rPr>
          <w:rFonts w:ascii="宋体" w:hAnsi="宋体" w:eastAsia="宋体" w:cs="宋体"/>
          <w:b/>
          <w:sz w:val="32"/>
        </w:rPr>
        <w:t>第二章  供应商须知 ...............................6</w:t>
      </w:r>
    </w:p>
    <w:p>
      <w:pPr>
        <w:spacing w:line="800" w:lineRule="auto"/>
        <w:rPr>
          <w:rFonts w:hint="eastAsia" w:ascii="宋体" w:hAnsi="宋体" w:eastAsia="宋体" w:cs="宋体"/>
          <w:b/>
          <w:sz w:val="32"/>
        </w:rPr>
      </w:pPr>
      <w:r>
        <w:rPr>
          <w:rFonts w:ascii="宋体" w:hAnsi="宋体" w:eastAsia="宋体" w:cs="宋体"/>
          <w:b/>
          <w:sz w:val="32"/>
        </w:rPr>
        <w:t>第三章  采购需求.................................2</w:t>
      </w:r>
      <w:r>
        <w:rPr>
          <w:rFonts w:hint="eastAsia" w:ascii="宋体" w:hAnsi="宋体" w:eastAsia="宋体" w:cs="宋体"/>
          <w:b/>
          <w:sz w:val="32"/>
        </w:rPr>
        <w:t>9</w:t>
      </w:r>
    </w:p>
    <w:p>
      <w:pPr>
        <w:spacing w:line="800" w:lineRule="auto"/>
        <w:rPr>
          <w:rFonts w:hint="eastAsia" w:ascii="宋体" w:hAnsi="宋体" w:eastAsia="宋体" w:cs="宋体"/>
          <w:b/>
          <w:sz w:val="32"/>
        </w:rPr>
      </w:pPr>
      <w:r>
        <w:rPr>
          <w:rFonts w:ascii="宋体" w:hAnsi="宋体" w:eastAsia="宋体" w:cs="宋体"/>
          <w:b/>
          <w:sz w:val="32"/>
        </w:rPr>
        <w:t>第四章  响应性文件内容及格式.....................</w:t>
      </w:r>
      <w:r>
        <w:rPr>
          <w:rFonts w:hint="eastAsia" w:ascii="宋体" w:hAnsi="宋体" w:eastAsia="宋体" w:cs="宋体"/>
          <w:b/>
          <w:sz w:val="32"/>
        </w:rPr>
        <w:t>49</w:t>
      </w:r>
    </w:p>
    <w:p>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w:t>
      </w:r>
      <w:r>
        <w:rPr>
          <w:rFonts w:hint="eastAsia" w:ascii="宋体" w:hAnsi="宋体" w:eastAsia="宋体" w:cs="宋体"/>
          <w:b/>
          <w:sz w:val="32"/>
        </w:rPr>
        <w:t>60</w:t>
      </w:r>
    </w:p>
    <w:p>
      <w:pPr>
        <w:spacing w:line="800" w:lineRule="auto"/>
        <w:rPr>
          <w:rFonts w:hint="eastAsia" w:ascii="宋体" w:hAnsi="宋体" w:eastAsia="宋体" w:cs="宋体"/>
          <w:b/>
          <w:sz w:val="32"/>
        </w:rPr>
      </w:pPr>
    </w:p>
    <w:p>
      <w:pPr>
        <w:spacing w:line="800" w:lineRule="auto"/>
        <w:rPr>
          <w:rFonts w:hint="eastAsia" w:ascii="宋体" w:hAnsi="宋体" w:eastAsia="宋体" w:cs="宋体"/>
          <w:b/>
          <w:sz w:val="32"/>
        </w:rPr>
      </w:pPr>
    </w:p>
    <w:p>
      <w:pPr>
        <w:spacing w:line="800" w:lineRule="auto"/>
        <w:rPr>
          <w:rFonts w:hint="eastAsia" w:ascii="宋体" w:hAnsi="宋体" w:eastAsia="宋体" w:cs="宋体"/>
          <w:b/>
          <w:sz w:val="32"/>
        </w:rPr>
      </w:pPr>
    </w:p>
    <w:p>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pPr>
        <w:ind w:firstLine="420"/>
        <w:jc w:val="left"/>
        <w:rPr>
          <w:rFonts w:ascii="Times New Roman" w:hAnsi="Times New Roman" w:eastAsia="Times New Roman" w:cs="Times New Roman"/>
          <w:sz w:val="22"/>
        </w:rPr>
      </w:pPr>
    </w:p>
    <w:p>
      <w:pPr>
        <w:ind w:firstLine="420"/>
        <w:jc w:val="left"/>
        <w:rPr>
          <w:rFonts w:ascii="Times New Roman" w:hAnsi="Times New Roman" w:cs="Times New Roman"/>
          <w:sz w:val="22"/>
        </w:rPr>
      </w:pPr>
    </w:p>
    <w:p>
      <w:pPr>
        <w:pStyle w:val="13"/>
        <w:ind w:firstLine="210"/>
      </w:pPr>
    </w:p>
    <w:p>
      <w:pPr>
        <w:pStyle w:val="13"/>
        <w:ind w:firstLine="210"/>
      </w:pPr>
    </w:p>
    <w:p>
      <w:pPr>
        <w:ind w:firstLine="420"/>
        <w:jc w:val="left"/>
        <w:rPr>
          <w:rFonts w:ascii="仿宋_GB2312" w:hAnsi="仿宋_GB2312" w:eastAsia="仿宋_GB2312" w:cs="仿宋_GB2312"/>
          <w:b/>
          <w:sz w:val="32"/>
        </w:rPr>
      </w:pPr>
      <w:r>
        <w:rPr>
          <w:rFonts w:ascii="仿宋_GB2312" w:hAnsi="仿宋_GB2312" w:eastAsia="仿宋_GB2312" w:cs="仿宋_GB2312"/>
          <w:b/>
          <w:sz w:val="32"/>
        </w:rPr>
        <w:t xml:space="preserve"> </w:t>
      </w:r>
    </w:p>
    <w:p>
      <w:pPr>
        <w:jc w:val="center"/>
        <w:rPr>
          <w:rFonts w:hint="eastAsia" w:ascii="宋体" w:hAnsi="宋体" w:eastAsia="宋体" w:cs="宋体"/>
          <w:b/>
          <w:sz w:val="32"/>
        </w:rPr>
      </w:pPr>
      <w:r>
        <w:rPr>
          <w:rFonts w:ascii="宋体" w:hAnsi="宋体" w:eastAsia="宋体" w:cs="宋体"/>
          <w:b/>
          <w:sz w:val="32"/>
        </w:rPr>
        <w:t>第一章    竞争性磋商邀请函</w:t>
      </w:r>
    </w:p>
    <w:p>
      <w:pPr>
        <w:ind w:firstLine="480"/>
        <w:rPr>
          <w:rFonts w:ascii="Times New Roman" w:hAnsi="Times New Roman" w:eastAsia="Times New Roman" w:cs="Times New Roman"/>
          <w:sz w:val="24"/>
        </w:rPr>
      </w:pPr>
      <w:r>
        <w:rPr>
          <w:rFonts w:ascii="宋体" w:hAnsi="宋体" w:eastAsia="宋体" w:cs="宋体"/>
          <w:sz w:val="24"/>
        </w:rPr>
        <w:t>项目概况</w:t>
      </w:r>
    </w:p>
    <w:p>
      <w:pPr>
        <w:spacing w:line="360" w:lineRule="auto"/>
        <w:ind w:firstLine="480"/>
        <w:rPr>
          <w:rFonts w:hint="eastAsia" w:ascii="宋体" w:hAnsi="宋体" w:eastAsia="宋体" w:cs="宋体"/>
          <w:sz w:val="24"/>
        </w:rPr>
      </w:pPr>
      <w:r>
        <w:rPr>
          <w:rFonts w:hint="eastAsia" w:ascii="宋体" w:hAnsi="宋体" w:eastAsia="宋体" w:cs="宋体"/>
          <w:sz w:val="24"/>
        </w:rPr>
        <w:t>周口市教育体育局沙颍河体育公园智能健身器材采购项目</w:t>
      </w:r>
      <w:r>
        <w:rPr>
          <w:rFonts w:ascii="宋体" w:hAnsi="宋体" w:eastAsia="宋体" w:cs="宋体"/>
          <w:sz w:val="24"/>
        </w:rPr>
        <w:t>的潜在供应商应在周口市公共资源交易中心网获取采购文件，并于</w:t>
      </w:r>
      <w:r>
        <w:rPr>
          <w:rFonts w:hint="eastAsia" w:ascii="宋体" w:hAnsi="宋体" w:eastAsia="宋体" w:cs="宋体"/>
          <w:sz w:val="24"/>
        </w:rPr>
        <w:t>2025</w:t>
      </w:r>
      <w:r>
        <w:rPr>
          <w:rFonts w:ascii="宋体" w:hAnsi="宋体" w:eastAsia="宋体" w:cs="宋体"/>
          <w:sz w:val="24"/>
        </w:rPr>
        <w:t xml:space="preserve"> 年 </w:t>
      </w:r>
      <w:r>
        <w:rPr>
          <w:rFonts w:hint="eastAsia" w:ascii="宋体" w:hAnsi="宋体" w:eastAsia="宋体" w:cs="宋体"/>
          <w:sz w:val="24"/>
          <w:lang w:val="en-US" w:eastAsia="zh-CN"/>
        </w:rPr>
        <w:t>10</w:t>
      </w:r>
      <w:r>
        <w:rPr>
          <w:rFonts w:ascii="宋体" w:hAnsi="宋体" w:eastAsia="宋体" w:cs="宋体"/>
          <w:sz w:val="24"/>
        </w:rPr>
        <w:t xml:space="preserve"> 月 </w:t>
      </w:r>
      <w:r>
        <w:rPr>
          <w:rFonts w:hint="eastAsia" w:ascii="宋体" w:hAnsi="宋体" w:eastAsia="宋体" w:cs="宋体"/>
          <w:sz w:val="24"/>
          <w:lang w:val="en-US" w:eastAsia="zh-CN"/>
        </w:rPr>
        <w:t>15</w:t>
      </w:r>
      <w:r>
        <w:rPr>
          <w:rFonts w:ascii="宋体" w:hAnsi="宋体" w:eastAsia="宋体" w:cs="宋体"/>
          <w:sz w:val="24"/>
        </w:rPr>
        <w:t xml:space="preserve"> 日    </w:t>
      </w:r>
      <w:r>
        <w:rPr>
          <w:rFonts w:hint="eastAsia" w:ascii="宋体" w:hAnsi="宋体" w:eastAsia="宋体" w:cs="宋体"/>
          <w:sz w:val="24"/>
          <w:lang w:val="en-US" w:eastAsia="zh-CN"/>
        </w:rPr>
        <w:t>10</w:t>
      </w:r>
      <w:r>
        <w:rPr>
          <w:rFonts w:ascii="宋体" w:hAnsi="宋体" w:eastAsia="宋体" w:cs="宋体"/>
          <w:sz w:val="24"/>
        </w:rPr>
        <w:t xml:space="preserve">点  </w:t>
      </w:r>
      <w:r>
        <w:rPr>
          <w:rFonts w:hint="eastAsia" w:ascii="宋体" w:hAnsi="宋体" w:eastAsia="宋体" w:cs="宋体"/>
          <w:sz w:val="24"/>
          <w:lang w:val="en-US" w:eastAsia="zh-CN"/>
        </w:rPr>
        <w:t>00</w:t>
      </w:r>
      <w:r>
        <w:rPr>
          <w:rFonts w:ascii="宋体" w:hAnsi="宋体" w:eastAsia="宋体" w:cs="宋体"/>
          <w:sz w:val="24"/>
        </w:rPr>
        <w:t xml:space="preserve">  分（北京时间）前提交响应文件。</w:t>
      </w:r>
    </w:p>
    <w:p>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pPr>
        <w:spacing w:line="360" w:lineRule="auto"/>
        <w:ind w:firstLine="480"/>
        <w:rPr>
          <w:rFonts w:hint="eastAsia" w:ascii="宋体" w:hAnsi="宋体" w:eastAsia="宋体" w:cs="宋体"/>
          <w:sz w:val="24"/>
        </w:rPr>
      </w:pPr>
      <w:r>
        <w:rPr>
          <w:rFonts w:ascii="宋体" w:hAnsi="宋体" w:eastAsia="宋体" w:cs="宋体"/>
          <w:sz w:val="24"/>
        </w:rPr>
        <w:t>项目编号：</w:t>
      </w:r>
      <w:r>
        <w:rPr>
          <w:rFonts w:hint="eastAsia" w:ascii="宋体" w:hAnsi="宋体" w:eastAsia="宋体" w:cs="宋体"/>
          <w:sz w:val="24"/>
        </w:rPr>
        <w:t>周财磋商采购-2025-96</w:t>
      </w:r>
    </w:p>
    <w:p>
      <w:pPr>
        <w:spacing w:line="360" w:lineRule="auto"/>
        <w:ind w:firstLine="480"/>
        <w:rPr>
          <w:rFonts w:ascii="Times New Roman" w:hAnsi="Times New Roman" w:eastAsia="Times New Roman" w:cs="Times New Roman"/>
          <w:sz w:val="24"/>
          <w:u w:val="single"/>
        </w:rPr>
      </w:pPr>
      <w:r>
        <w:rPr>
          <w:rFonts w:ascii="宋体" w:hAnsi="宋体" w:eastAsia="宋体" w:cs="宋体"/>
          <w:sz w:val="24"/>
        </w:rPr>
        <w:t>项目名称：</w:t>
      </w:r>
      <w:r>
        <w:rPr>
          <w:rFonts w:hint="eastAsia" w:ascii="宋体" w:hAnsi="宋体" w:eastAsia="宋体" w:cs="宋体"/>
          <w:sz w:val="24"/>
        </w:rPr>
        <w:t>周口市教育体育局沙颍河体育公园智能健身器材采购项目</w:t>
      </w:r>
    </w:p>
    <w:p>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pPr>
        <w:spacing w:line="360" w:lineRule="auto"/>
        <w:ind w:firstLine="480"/>
        <w:rPr>
          <w:rFonts w:ascii="Times New Roman" w:hAnsi="Times New Roman" w:eastAsia="Times New Roman" w:cs="Times New Roman"/>
          <w:sz w:val="24"/>
        </w:rPr>
      </w:pPr>
      <w:r>
        <w:rPr>
          <w:rFonts w:ascii="宋体" w:hAnsi="宋体" w:eastAsia="宋体" w:cs="宋体"/>
          <w:sz w:val="24"/>
        </w:rPr>
        <w:t>预算金额：</w:t>
      </w:r>
      <w:r>
        <w:rPr>
          <w:rFonts w:hint="eastAsia" w:ascii="宋体" w:hAnsi="宋体" w:eastAsia="宋体" w:cs="宋体"/>
          <w:sz w:val="24"/>
        </w:rPr>
        <w:t>191.17万元</w:t>
      </w:r>
    </w:p>
    <w:p>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9"/>
        <w:tblW w:w="0" w:type="auto"/>
        <w:tblInd w:w="0" w:type="dxa"/>
        <w:tblLayout w:type="autofit"/>
        <w:tblCellMar>
          <w:top w:w="0" w:type="dxa"/>
          <w:left w:w="10" w:type="dxa"/>
          <w:bottom w:w="0" w:type="dxa"/>
          <w:right w:w="10" w:type="dxa"/>
        </w:tblCellMar>
      </w:tblPr>
      <w:tblGrid>
        <w:gridCol w:w="1526"/>
        <w:gridCol w:w="4111"/>
        <w:gridCol w:w="2221"/>
      </w:tblGrid>
      <w:tr>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2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包最高限价万元</w:t>
            </w:r>
          </w:p>
        </w:tc>
      </w:tr>
      <w:tr>
        <w:tblPrEx>
          <w:tblCellMar>
            <w:top w:w="0" w:type="dxa"/>
            <w:left w:w="10" w:type="dxa"/>
            <w:bottom w:w="0" w:type="dxa"/>
            <w:right w:w="10" w:type="dxa"/>
          </w:tblCellMar>
        </w:tblPrEx>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pPr>
            <w:r>
              <w:rPr>
                <w:rFonts w:hint="eastAsia" w:ascii="宋体" w:hAnsi="宋体" w:eastAsia="宋体" w:cs="宋体"/>
                <w:sz w:val="24"/>
              </w:rPr>
              <w:t>周口市教育体育局沙颍河体育公园智能健身器材采购项目</w:t>
            </w:r>
          </w:p>
        </w:tc>
        <w:tc>
          <w:tcPr>
            <w:tcW w:w="22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firstLine="480"/>
              <w:rPr>
                <w:rFonts w:hint="eastAsia" w:ascii="宋体" w:hAnsi="宋体" w:eastAsia="宋体" w:cs="宋体"/>
                <w:sz w:val="24"/>
              </w:rPr>
            </w:pPr>
            <w:r>
              <w:rPr>
                <w:rFonts w:hint="eastAsia" w:ascii="宋体" w:hAnsi="宋体" w:eastAsia="宋体" w:cs="宋体"/>
                <w:sz w:val="24"/>
              </w:rPr>
              <w:t>191.17</w:t>
            </w:r>
          </w:p>
        </w:tc>
      </w:tr>
    </w:tbl>
    <w:p>
      <w:pPr>
        <w:spacing w:line="360" w:lineRule="auto"/>
        <w:ind w:firstLine="480"/>
        <w:rPr>
          <w:rFonts w:hint="eastAsia" w:ascii="宋体" w:hAnsi="宋体" w:eastAsia="宋体" w:cs="宋体"/>
          <w:sz w:val="24"/>
        </w:rPr>
      </w:pPr>
      <w:r>
        <w:rPr>
          <w:rFonts w:ascii="宋体" w:hAnsi="宋体" w:eastAsia="宋体" w:cs="宋体"/>
          <w:sz w:val="24"/>
        </w:rPr>
        <w:t>采购需求：</w:t>
      </w:r>
      <w:r>
        <w:rPr>
          <w:rFonts w:hint="eastAsia" w:ascii="宋体" w:hAnsi="宋体" w:eastAsia="宋体" w:cs="宋体"/>
          <w:sz w:val="24"/>
        </w:rPr>
        <w:t>智能健身器材采购，详见竞争性磋商文件</w:t>
      </w:r>
    </w:p>
    <w:p>
      <w:pPr>
        <w:spacing w:line="360" w:lineRule="auto"/>
        <w:ind w:firstLine="480"/>
        <w:rPr>
          <w:rFonts w:ascii="Times New Roman" w:hAnsi="Times New Roman" w:eastAsia="Times New Roman" w:cs="Times New Roman"/>
          <w:color w:val="000000" w:themeColor="text1"/>
          <w:sz w:val="24"/>
        </w:rPr>
      </w:pPr>
      <w:r>
        <w:rPr>
          <w:rFonts w:ascii="宋体" w:hAnsi="宋体" w:eastAsia="宋体" w:cs="宋体"/>
          <w:color w:val="000000" w:themeColor="text1"/>
          <w:sz w:val="24"/>
        </w:rPr>
        <w:t>合同履行期限：</w:t>
      </w:r>
      <w:r>
        <w:rPr>
          <w:rFonts w:hint="eastAsia" w:ascii="宋体" w:hAnsi="宋体" w:eastAsia="宋体" w:cs="宋体"/>
          <w:color w:val="000000" w:themeColor="text1"/>
          <w:sz w:val="24"/>
        </w:rPr>
        <w:t>合同签订后30日历天</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pPr>
        <w:spacing w:line="360" w:lineRule="auto"/>
        <w:ind w:firstLine="480" w:firstLineChars="200"/>
        <w:jc w:val="left"/>
        <w:rPr>
          <w:rFonts w:hint="eastAsia" w:ascii="宋体" w:hAnsi="宋体" w:eastAsia="宋体" w:cs="宋体"/>
          <w:color w:val="EE0000"/>
          <w:sz w:val="24"/>
          <w:szCs w:val="24"/>
        </w:rPr>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bookmarkStart w:id="0" w:name="_GoBack"/>
      <w:bookmarkEnd w:id="0"/>
    </w:p>
    <w:p>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pPr>
        <w:adjustRightInd w:val="0"/>
        <w:snapToGrid w:val="0"/>
        <w:spacing w:line="360" w:lineRule="auto"/>
        <w:ind w:firstLine="480" w:firstLineChars="200"/>
        <w:jc w:val="left"/>
        <w:rPr>
          <w:rFonts w:hint="eastAsia" w:ascii="宋体" w:hAnsi="宋体" w:cs="宋体"/>
          <w:color w:val="000000"/>
          <w:sz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cs="宋体"/>
          <w:bCs/>
          <w:color w:val="000000"/>
          <w:sz w:val="24"/>
        </w:rPr>
        <w:t>根据《关于在政府采购活动中查询及使用信用记录有关问题的通知》（财库[2016]125号）和豫财购【2016】15号的规定，</w:t>
      </w:r>
      <w:r>
        <w:rPr>
          <w:rFonts w:hint="eastAsia" w:ascii="宋体" w:hAnsi="宋体" w:cs="宋体"/>
          <w:color w:val="000000"/>
          <w:sz w:val="24"/>
        </w:rPr>
        <w:t>对列入失信被执行人、重大税收违法失信主体、政府采购严重违法失信行为记录名单，拒绝其参与本次政府采购活动</w:t>
      </w:r>
      <w:r>
        <w:rPr>
          <w:rFonts w:hint="eastAsia" w:ascii="宋体" w:hAnsi="宋体" w:cs="宋体"/>
          <w:bCs/>
          <w:color w:val="000000"/>
          <w:sz w:val="24"/>
        </w:rPr>
        <w:t>。供应商须通过“信用中国”网站（www.creditchina.gov.cn)、“中国执行信息公开网”（zxgk.court.gov.cn）对列入“失信被执行人”、“重大税收违法失信主体”、“政府采购严重违法失信行为记录名单”企业和法定代表人的查询，通</w:t>
      </w:r>
      <w:r>
        <w:rPr>
          <w:rFonts w:hint="eastAsia" w:ascii="宋体" w:hAnsi="宋体" w:cs="宋体"/>
          <w:color w:val="000000"/>
          <w:sz w:val="24"/>
        </w:rPr>
        <w:t>过“中国政府采购网”（www.ccgp.gov.cn）对“政府采购严重违法失信行为信息记录”企业信用记录查询（</w:t>
      </w:r>
      <w:r>
        <w:rPr>
          <w:rFonts w:hint="eastAsia" w:ascii="宋体" w:hAnsi="宋体" w:cs="宋体"/>
          <w:bCs/>
          <w:color w:val="000000"/>
          <w:sz w:val="24"/>
        </w:rPr>
        <w:t>在投标文件中附加盖公章的网页查询扫描件，查询日期为公告发布之日后有效</w:t>
      </w:r>
      <w:r>
        <w:rPr>
          <w:rFonts w:hint="eastAsia" w:ascii="宋体" w:hAnsi="宋体" w:cs="宋体"/>
          <w:color w:val="000000"/>
          <w:sz w:val="24"/>
        </w:rPr>
        <w:t>）。</w:t>
      </w:r>
    </w:p>
    <w:p>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2025</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9</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30</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cs="Times New Roman"/>
          <w:sz w:val="24"/>
          <w:u w:val="single"/>
        </w:rPr>
        <w:t>2025</w:t>
      </w:r>
      <w:r>
        <w:rPr>
          <w:rFonts w:ascii="Times New Roman" w:hAnsi="Times New Roman" w:eastAsia="Times New Roman" w:cs="Times New Roman"/>
          <w:sz w:val="24"/>
          <w:u w:val="single"/>
        </w:rPr>
        <w:t xml:space="preserve"> </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10</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hint="eastAsia" w:ascii="宋体" w:hAnsi="宋体" w:eastAsia="宋体" w:cs="宋体"/>
          <w:sz w:val="24"/>
          <w:u w:val="single"/>
          <w:lang w:val="en-US" w:eastAsia="zh-CN"/>
        </w:rPr>
        <w:t>14</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cs="Times New Roman"/>
          <w:sz w:val="24"/>
          <w:u w:val="single"/>
        </w:rPr>
        <w:t>2025</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10</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15</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10</w:t>
      </w:r>
      <w:r>
        <w:rPr>
          <w:rFonts w:ascii="Times New Roman" w:hAnsi="Times New Roman" w:eastAsia="Times New Roman" w:cs="Times New Roman"/>
          <w:sz w:val="24"/>
          <w:u w:val="single"/>
        </w:rPr>
        <w:t xml:space="preserve"> </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00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HYPERLINK "http://jyzx.zhoukou.gov.cn/" \h</w:instrText>
      </w:r>
      <w:r>
        <w:fldChar w:fldCharType="separate"/>
      </w:r>
      <w:r>
        <w:rPr>
          <w:rFonts w:ascii="Times New Roman" w:hAnsi="Times New Roman" w:eastAsia="Times New Roman" w:cs="Times New Roman"/>
          <w:color w:val="000000"/>
          <w:sz w:val="24"/>
          <w:u w:val="single"/>
        </w:rPr>
        <w:t>http://jyzx.zhoukou.gov.cn</w:t>
      </w:r>
      <w:r>
        <w:fldChar w:fldCharType="end"/>
      </w:r>
      <w:r>
        <w:rPr>
          <w:rFonts w:ascii="宋体" w:hAnsi="宋体" w:eastAsia="宋体" w:cs="宋体"/>
          <w:sz w:val="24"/>
        </w:rPr>
        <w:t>）。</w:t>
      </w:r>
    </w:p>
    <w:p>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cs="Times New Roman"/>
          <w:sz w:val="24"/>
          <w:u w:val="single"/>
        </w:rPr>
        <w:t>2025</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10</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15</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10</w:t>
      </w:r>
      <w:r>
        <w:rPr>
          <w:rFonts w:ascii="Times New Roman" w:hAnsi="Times New Roman" w:eastAsia="Times New Roman" w:cs="Times New Roman"/>
          <w:sz w:val="24"/>
          <w:u w:val="single"/>
        </w:rPr>
        <w:t xml:space="preserve"> </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00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sz w:val="24"/>
        </w:rPr>
        <w:t>周口市教育体育局</w:t>
      </w:r>
      <w:r>
        <w:rPr>
          <w:rFonts w:ascii="宋体" w:hAnsi="宋体" w:eastAsia="宋体" w:cs="宋体"/>
          <w:sz w:val="24"/>
        </w:rPr>
        <w:t>　　　　　　　　　　　　</w:t>
      </w:r>
    </w:p>
    <w:p>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hint="eastAsia" w:ascii="宋体" w:hAnsi="宋体" w:cs="宋体"/>
          <w:sz w:val="24"/>
          <w:szCs w:val="24"/>
        </w:rPr>
        <w:t>周口市太昊路8号</w:t>
      </w:r>
      <w:r>
        <w:rPr>
          <w:rFonts w:ascii="宋体" w:hAnsi="宋体" w:eastAsia="宋体" w:cs="宋体"/>
          <w:sz w:val="24"/>
        </w:rPr>
        <w:t>　　　　　　　　　　　</w:t>
      </w:r>
    </w:p>
    <w:p>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cs="宋体"/>
          <w:sz w:val="24"/>
          <w:szCs w:val="24"/>
        </w:rPr>
        <w:t>张维生</w:t>
      </w:r>
      <w:r>
        <w:rPr>
          <w:rFonts w:ascii="宋体" w:hAnsi="宋体" w:eastAsia="宋体" w:cs="宋体"/>
          <w:sz w:val="24"/>
        </w:rPr>
        <w:t xml:space="preserve">   联系方式：</w:t>
      </w:r>
      <w:r>
        <w:rPr>
          <w:rFonts w:hint="eastAsia" w:ascii="宋体" w:hAnsi="宋体" w:eastAsia="宋体" w:cs="宋体"/>
          <w:sz w:val="24"/>
        </w:rPr>
        <w:t>13608420536</w:t>
      </w:r>
      <w:r>
        <w:rPr>
          <w:rFonts w:ascii="宋体" w:hAnsi="宋体" w:eastAsia="宋体" w:cs="宋体"/>
          <w:sz w:val="24"/>
        </w:rPr>
        <w:t xml:space="preserve">　　　　 </w:t>
      </w:r>
    </w:p>
    <w:p>
      <w:pPr>
        <w:spacing w:line="360" w:lineRule="auto"/>
        <w:ind w:firstLine="480"/>
        <w:jc w:val="left"/>
        <w:rPr>
          <w:rFonts w:hint="eastAsia" w:ascii="宋体" w:hAnsi="宋体" w:eastAsia="宋体" w:cs="宋体"/>
          <w:sz w:val="24"/>
        </w:rPr>
      </w:pPr>
      <w:r>
        <w:rPr>
          <w:rFonts w:ascii="宋体" w:hAnsi="宋体" w:eastAsia="宋体" w:cs="宋体"/>
          <w:sz w:val="24"/>
        </w:rPr>
        <w:t>2.采购代理机构信息</w:t>
      </w:r>
    </w:p>
    <w:p>
      <w:pPr>
        <w:spacing w:line="360" w:lineRule="auto"/>
        <w:ind w:firstLine="480"/>
        <w:jc w:val="left"/>
        <w:rPr>
          <w:rFonts w:hint="eastAsia" w:ascii="宋体" w:hAnsi="宋体" w:eastAsia="宋体" w:cs="宋体"/>
          <w:sz w:val="24"/>
        </w:rPr>
      </w:pPr>
      <w:r>
        <w:rPr>
          <w:rFonts w:ascii="宋体" w:hAnsi="宋体" w:eastAsia="宋体" w:cs="宋体"/>
          <w:sz w:val="24"/>
        </w:rPr>
        <w:t>名 称：周口市公共资源交易中心政府采购中心　　　　　　　　　　　　</w:t>
      </w:r>
    </w:p>
    <w:p>
      <w:pPr>
        <w:spacing w:line="360" w:lineRule="auto"/>
        <w:ind w:firstLine="480"/>
        <w:jc w:val="left"/>
        <w:rPr>
          <w:rFonts w:hint="eastAsia" w:ascii="宋体" w:hAnsi="宋体" w:eastAsia="宋体" w:cs="宋体"/>
          <w:sz w:val="24"/>
        </w:rPr>
      </w:pPr>
      <w:r>
        <w:rPr>
          <w:rFonts w:ascii="宋体" w:hAnsi="宋体" w:eastAsia="宋体" w:cs="宋体"/>
          <w:sz w:val="24"/>
        </w:rPr>
        <w:t>地　址：周口市光明路与政通路交叉口向北100米路东</w:t>
      </w:r>
    </w:p>
    <w:p>
      <w:pPr>
        <w:spacing w:line="360" w:lineRule="auto"/>
        <w:ind w:firstLine="480"/>
        <w:jc w:val="left"/>
        <w:rPr>
          <w:rFonts w:hint="eastAsia" w:ascii="宋体" w:hAnsi="宋体" w:eastAsia="宋体" w:cs="宋体"/>
          <w:sz w:val="24"/>
        </w:rPr>
      </w:pPr>
      <w:r>
        <w:rPr>
          <w:rFonts w:ascii="宋体" w:hAnsi="宋体" w:eastAsia="宋体" w:cs="宋体"/>
          <w:sz w:val="24"/>
        </w:rPr>
        <w:t xml:space="preserve">项目联系人： </w:t>
      </w:r>
      <w:r>
        <w:rPr>
          <w:rFonts w:hint="eastAsia" w:ascii="宋体" w:hAnsi="宋体" w:eastAsia="宋体" w:cs="宋体"/>
          <w:sz w:val="24"/>
          <w:lang w:val="en-US" w:eastAsia="zh-CN"/>
        </w:rPr>
        <w:t>王园园</w:t>
      </w:r>
      <w:r>
        <w:rPr>
          <w:rFonts w:ascii="宋体" w:hAnsi="宋体" w:eastAsia="宋体" w:cs="宋体"/>
          <w:sz w:val="24"/>
        </w:rPr>
        <w:t xml:space="preserve">   联系方式：</w:t>
      </w:r>
      <w:r>
        <w:rPr>
          <w:rFonts w:hint="eastAsia" w:ascii="宋体" w:hAnsi="宋体" w:cs="宋体"/>
          <w:color w:val="000000"/>
          <w:sz w:val="24"/>
        </w:rPr>
        <w:t>0394-8106517</w:t>
      </w:r>
      <w:r>
        <w:rPr>
          <w:rFonts w:hint="eastAsia" w:ascii="宋体" w:hAnsi="宋体" w:cs="宋体"/>
          <w:color w:val="000000"/>
          <w:sz w:val="24"/>
          <w:lang w:eastAsia="zh-CN"/>
        </w:rPr>
        <w:t>、</w:t>
      </w:r>
      <w:r>
        <w:rPr>
          <w:rFonts w:hint="eastAsia" w:ascii="宋体" w:hAnsi="宋体" w:cs="宋体"/>
          <w:color w:val="000000"/>
          <w:sz w:val="24"/>
          <w:lang w:val="en-US" w:eastAsia="zh-CN"/>
        </w:rPr>
        <w:t>19913281180</w:t>
      </w:r>
      <w:r>
        <w:rPr>
          <w:rFonts w:ascii="宋体" w:hAnsi="宋体" w:eastAsia="宋体" w:cs="宋体"/>
          <w:sz w:val="24"/>
        </w:rPr>
        <w:t>　　　　　　　　</w:t>
      </w:r>
    </w:p>
    <w:p>
      <w:pPr>
        <w:spacing w:line="360" w:lineRule="auto"/>
        <w:ind w:firstLine="480"/>
        <w:jc w:val="left"/>
        <w:rPr>
          <w:rFonts w:hint="eastAsia" w:ascii="宋体" w:hAnsi="宋体" w:eastAsia="宋体" w:cs="宋体"/>
          <w:sz w:val="24"/>
        </w:rPr>
      </w:pPr>
      <w:r>
        <w:rPr>
          <w:rFonts w:ascii="宋体" w:hAnsi="宋体" w:eastAsia="宋体" w:cs="宋体"/>
          <w:sz w:val="24"/>
        </w:rPr>
        <w:t>3.监督单位：</w:t>
      </w:r>
      <w:r>
        <w:rPr>
          <w:rFonts w:hint="eastAsia" w:ascii="宋体" w:hAnsi="宋体" w:cs="宋体"/>
          <w:sz w:val="24"/>
        </w:rPr>
        <w:t>周口市财政局政府采购监督管理科</w:t>
      </w:r>
    </w:p>
    <w:p>
      <w:pPr>
        <w:ind w:firstLine="720"/>
        <w:jc w:val="left"/>
        <w:rPr>
          <w:rFonts w:ascii="Times New Roman" w:hAnsi="Times New Roman" w:eastAsia="Times New Roman" w:cs="Times New Roman"/>
          <w:sz w:val="24"/>
        </w:rPr>
      </w:pPr>
      <w:r>
        <w:rPr>
          <w:rFonts w:ascii="宋体" w:hAnsi="宋体" w:eastAsia="宋体" w:cs="宋体"/>
          <w:sz w:val="24"/>
        </w:rPr>
        <w:t xml:space="preserve">联系方式： </w:t>
      </w:r>
      <w:r>
        <w:rPr>
          <w:rFonts w:hint="eastAsia" w:ascii="宋体" w:hAnsi="宋体" w:cs="宋体"/>
          <w:sz w:val="24"/>
        </w:rPr>
        <w:t>0394-8106976</w:t>
      </w:r>
    </w:p>
    <w:p>
      <w:pPr>
        <w:ind w:firstLine="420"/>
        <w:jc w:val="left"/>
        <w:rPr>
          <w:rFonts w:ascii="Times New Roman" w:hAnsi="Times New Roman" w:eastAsia="Times New Roman" w:cs="Times New Roman"/>
          <w:sz w:val="22"/>
        </w:rPr>
      </w:pPr>
    </w:p>
    <w:p>
      <w:pPr>
        <w:spacing w:after="120" w:line="360" w:lineRule="auto"/>
        <w:ind w:firstLine="2040"/>
        <w:rPr>
          <w:rFonts w:hint="eastAsia" w:ascii="宋体" w:hAnsi="宋体" w:eastAsia="宋体" w:cs="宋体"/>
          <w:sz w:val="24"/>
        </w:rPr>
      </w:pPr>
      <w:r>
        <w:rPr>
          <w:rFonts w:ascii="宋体" w:hAnsi="宋体" w:eastAsia="宋体" w:cs="宋体"/>
          <w:sz w:val="24"/>
        </w:rPr>
        <w:t>周口市公共资源交易中心政府采购中心</w:t>
      </w:r>
    </w:p>
    <w:p>
      <w:pPr>
        <w:tabs>
          <w:tab w:val="left" w:pos="0"/>
          <w:tab w:val="left" w:pos="993"/>
          <w:tab w:val="left" w:pos="1134"/>
        </w:tabs>
        <w:ind w:firstLine="3600"/>
        <w:rPr>
          <w:rFonts w:hint="eastAsia"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ascii="宋体" w:hAnsi="宋体" w:eastAsia="宋体" w:cs="宋体"/>
          <w:color w:val="000000"/>
          <w:sz w:val="24"/>
        </w:rPr>
        <w:t xml:space="preserve"> </w:t>
      </w:r>
      <w:r>
        <w:rPr>
          <w:rFonts w:hint="eastAsia" w:ascii="宋体" w:hAnsi="宋体" w:eastAsia="宋体" w:cs="宋体"/>
          <w:color w:val="000000"/>
          <w:sz w:val="24"/>
          <w:lang w:val="en-US" w:eastAsia="zh-CN"/>
        </w:rPr>
        <w:t>9</w:t>
      </w:r>
      <w:r>
        <w:rPr>
          <w:rFonts w:ascii="宋体" w:hAnsi="宋体" w:eastAsia="宋体" w:cs="宋体"/>
          <w:sz w:val="24"/>
        </w:rPr>
        <w:t>月</w:t>
      </w:r>
      <w:r>
        <w:rPr>
          <w:rFonts w:hint="eastAsia" w:ascii="宋体" w:hAnsi="宋体" w:eastAsia="宋体" w:cs="宋体"/>
          <w:sz w:val="24"/>
          <w:lang w:val="en-US" w:eastAsia="zh-CN"/>
        </w:rPr>
        <w:t>30</w:t>
      </w:r>
      <w:r>
        <w:rPr>
          <w:rFonts w:ascii="宋体" w:hAnsi="宋体" w:eastAsia="宋体" w:cs="宋体"/>
          <w:color w:val="000000"/>
          <w:sz w:val="24"/>
        </w:rPr>
        <w:t xml:space="preserve"> </w:t>
      </w:r>
      <w:r>
        <w:rPr>
          <w:rFonts w:ascii="宋体" w:hAnsi="宋体" w:eastAsia="宋体" w:cs="宋体"/>
          <w:sz w:val="24"/>
        </w:rPr>
        <w:t>日</w:t>
      </w: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tabs>
          <w:tab w:val="left" w:pos="0"/>
          <w:tab w:val="left" w:pos="993"/>
          <w:tab w:val="left" w:pos="1134"/>
        </w:tabs>
        <w:ind w:firstLine="3600"/>
        <w:rPr>
          <w:rFonts w:hint="eastAsia" w:ascii="宋体" w:hAnsi="宋体" w:eastAsia="宋体" w:cs="宋体"/>
          <w:b/>
          <w:sz w:val="24"/>
        </w:rPr>
      </w:pPr>
    </w:p>
    <w:p>
      <w:pPr>
        <w:tabs>
          <w:tab w:val="left" w:pos="0"/>
          <w:tab w:val="left" w:pos="993"/>
          <w:tab w:val="left" w:pos="1134"/>
        </w:tabs>
        <w:ind w:firstLine="3600"/>
        <w:rPr>
          <w:rFonts w:hint="eastAsia" w:ascii="宋体" w:hAnsi="宋体" w:eastAsia="宋体" w:cs="宋体"/>
          <w:b/>
          <w:sz w:val="24"/>
        </w:rPr>
      </w:pPr>
    </w:p>
    <w:p>
      <w:pPr>
        <w:tabs>
          <w:tab w:val="left" w:pos="0"/>
          <w:tab w:val="left" w:pos="993"/>
          <w:tab w:val="left" w:pos="1134"/>
        </w:tabs>
        <w:ind w:firstLine="3600"/>
        <w:rPr>
          <w:rFonts w:hint="eastAsia" w:ascii="宋体" w:hAnsi="宋体" w:eastAsia="宋体" w:cs="宋体"/>
          <w:b/>
          <w:sz w:val="24"/>
        </w:rPr>
      </w:pPr>
    </w:p>
    <w:p>
      <w:pPr>
        <w:tabs>
          <w:tab w:val="left" w:pos="0"/>
          <w:tab w:val="left" w:pos="993"/>
          <w:tab w:val="left" w:pos="1134"/>
        </w:tabs>
        <w:ind w:firstLine="3600"/>
        <w:rPr>
          <w:rFonts w:hint="eastAsia" w:ascii="宋体" w:hAnsi="宋体" w:eastAsia="宋体" w:cs="宋体"/>
          <w:b/>
          <w:sz w:val="24"/>
        </w:rPr>
      </w:pPr>
    </w:p>
    <w:p>
      <w:pPr>
        <w:tabs>
          <w:tab w:val="left" w:pos="0"/>
          <w:tab w:val="left" w:pos="993"/>
          <w:tab w:val="left" w:pos="1134"/>
        </w:tabs>
        <w:ind w:firstLine="3600"/>
        <w:rPr>
          <w:rFonts w:hint="eastAsia" w:ascii="宋体" w:hAnsi="宋体" w:eastAsia="宋体" w:cs="宋体"/>
          <w:b/>
          <w:sz w:val="24"/>
        </w:rPr>
      </w:pPr>
    </w:p>
    <w:p>
      <w:pPr>
        <w:jc w:val="center"/>
        <w:rPr>
          <w:rFonts w:hint="eastAsia" w:ascii="宋体" w:hAnsi="宋体" w:eastAsia="宋体" w:cs="宋体"/>
          <w:b/>
          <w:sz w:val="24"/>
        </w:rPr>
      </w:pPr>
      <w:r>
        <w:rPr>
          <w:rFonts w:ascii="宋体" w:hAnsi="宋体" w:eastAsia="宋体" w:cs="宋体"/>
          <w:b/>
          <w:sz w:val="24"/>
        </w:rPr>
        <w:t>第二章    供应商须知</w:t>
      </w:r>
    </w:p>
    <w:p>
      <w:pPr>
        <w:jc w:val="center"/>
        <w:rPr>
          <w:rFonts w:hint="eastAsia" w:ascii="宋体" w:hAnsi="宋体" w:eastAsia="宋体" w:cs="宋体"/>
          <w:b/>
          <w:sz w:val="24"/>
        </w:rPr>
      </w:pPr>
    </w:p>
    <w:tbl>
      <w:tblPr>
        <w:tblStyle w:val="9"/>
        <w:tblW w:w="0" w:type="auto"/>
        <w:tblInd w:w="108" w:type="dxa"/>
        <w:tblLayout w:type="autofit"/>
        <w:tblCellMar>
          <w:top w:w="0" w:type="dxa"/>
          <w:left w:w="10" w:type="dxa"/>
          <w:bottom w:w="0" w:type="dxa"/>
          <w:right w:w="10" w:type="dxa"/>
        </w:tblCellMar>
      </w:tblPr>
      <w:tblGrid>
        <w:gridCol w:w="856"/>
        <w:gridCol w:w="1671"/>
        <w:gridCol w:w="5887"/>
      </w:tblGrid>
      <w:tr>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供应商须知前附表</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序号</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条款</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4"/>
              </w:rPr>
              <w:t>内  容</w:t>
            </w:r>
          </w:p>
        </w:tc>
      </w:tr>
      <w:tr>
        <w:tblPrEx>
          <w:tblCellMar>
            <w:top w:w="0" w:type="dxa"/>
            <w:left w:w="10" w:type="dxa"/>
            <w:bottom w:w="0" w:type="dxa"/>
            <w:right w:w="10" w:type="dxa"/>
          </w:tblCellMar>
        </w:tblPrEx>
        <w:trPr>
          <w:trHeight w:val="229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color w:val="000000"/>
                <w:sz w:val="24"/>
              </w:rPr>
              <w:t>项目概况</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sz w:val="24"/>
              </w:rPr>
              <w:t>周口市教育体育局沙颍河体育公园智能健身器材采购项目</w:t>
            </w:r>
          </w:p>
          <w:p>
            <w:pPr>
              <w:rPr>
                <w:rFonts w:hint="eastAsia"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rPr>
              <w:t>周口市教育体育局沙颍河体育公园智能健身器材采购项目</w:t>
            </w:r>
          </w:p>
          <w:p>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周口市教育体育局</w:t>
            </w:r>
          </w:p>
          <w:p>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tblPrEx>
          <w:tblCellMar>
            <w:top w:w="0" w:type="dxa"/>
            <w:left w:w="10" w:type="dxa"/>
            <w:bottom w:w="0" w:type="dxa"/>
            <w:right w:w="10" w:type="dxa"/>
          </w:tblCellMar>
        </w:tblPrEx>
        <w:trPr>
          <w:trHeight w:val="79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jc w:val="center"/>
              <w:rPr>
                <w:rFonts w:hint="eastAsia" w:ascii="宋体" w:hAnsi="宋体" w:eastAsia="宋体" w:cs="宋体"/>
              </w:rPr>
            </w:pPr>
            <w:r>
              <w:rPr>
                <w:rFonts w:ascii="宋体" w:hAnsi="宋体" w:eastAsia="宋体" w:cs="宋体"/>
                <w:sz w:val="24"/>
              </w:rPr>
              <w:t>对供应商的资格要求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rPr>
                <w:rFonts w:hint="eastAsia" w:ascii="宋体" w:hAnsi="宋体" w:eastAsia="宋体" w:cs="宋体"/>
              </w:rPr>
            </w:pPr>
            <w:r>
              <w:rPr>
                <w:rFonts w:ascii="宋体" w:hAnsi="宋体" w:eastAsia="宋体" w:cs="宋体"/>
                <w:sz w:val="24"/>
              </w:rPr>
              <w:t>见竞争性磋商邀请函</w:t>
            </w:r>
          </w:p>
        </w:tc>
      </w:tr>
      <w:tr>
        <w:tblPrEx>
          <w:tblCellMar>
            <w:top w:w="0" w:type="dxa"/>
            <w:left w:w="10" w:type="dxa"/>
            <w:bottom w:w="0" w:type="dxa"/>
            <w:right w:w="10" w:type="dxa"/>
          </w:tblCellMar>
        </w:tblPrEx>
        <w:trPr>
          <w:trHeight w:val="7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报价费用</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响应文件语言</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4"/>
              </w:rPr>
              <w:t>中文</w:t>
            </w:r>
          </w:p>
        </w:tc>
      </w:tr>
      <w:tr>
        <w:tblPrEx>
          <w:tblCellMar>
            <w:top w:w="0" w:type="dxa"/>
            <w:left w:w="10" w:type="dxa"/>
            <w:bottom w:w="0" w:type="dxa"/>
            <w:right w:w="10" w:type="dxa"/>
          </w:tblCellMar>
        </w:tblPrEx>
        <w:trPr>
          <w:trHeight w:val="46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报价货币</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4"/>
              </w:rPr>
              <w:t>人民币</w:t>
            </w:r>
          </w:p>
        </w:tc>
      </w:tr>
      <w:tr>
        <w:tblPrEx>
          <w:tblCellMar>
            <w:top w:w="0" w:type="dxa"/>
            <w:left w:w="10" w:type="dxa"/>
            <w:bottom w:w="0" w:type="dxa"/>
            <w:right w:w="10" w:type="dxa"/>
          </w:tblCellMar>
        </w:tblPrEx>
        <w:trPr>
          <w:trHeight w:val="106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报价范围及说明</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tblPrEx>
          <w:tblCellMar>
            <w:top w:w="0" w:type="dxa"/>
            <w:left w:w="10" w:type="dxa"/>
            <w:bottom w:w="0" w:type="dxa"/>
            <w:right w:w="10" w:type="dxa"/>
          </w:tblCellMar>
        </w:tblPrEx>
        <w:trPr>
          <w:trHeight w:val="72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响应文件有效期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4"/>
              </w:rPr>
              <w:t>响应文件递交截止期后60日内有效</w:t>
            </w:r>
          </w:p>
        </w:tc>
      </w:tr>
      <w:tr>
        <w:tblPrEx>
          <w:tblCellMar>
            <w:top w:w="0" w:type="dxa"/>
            <w:left w:w="10" w:type="dxa"/>
            <w:bottom w:w="0" w:type="dxa"/>
            <w:right w:w="10" w:type="dxa"/>
          </w:tblCellMar>
        </w:tblPrEx>
        <w:trPr>
          <w:trHeight w:val="135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rPr>
          <w:trHeight w:val="82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hint="eastAsia" w:ascii="宋体" w:hAnsi="宋体" w:eastAsia="宋体" w:cs="宋体"/>
              </w:rPr>
            </w:pPr>
            <w:r>
              <w:rPr>
                <w:rFonts w:hint="eastAsia" w:ascii="宋体" w:hAnsi="宋体" w:eastAsia="宋体" w:cs="宋体"/>
                <w:sz w:val="24"/>
              </w:rPr>
              <w:t>列明项目名称、采购编号、供应商名称、地址、联系人及联系方式等信息</w:t>
            </w:r>
          </w:p>
        </w:tc>
      </w:tr>
      <w:tr>
        <w:tblPrEx>
          <w:tblCellMar>
            <w:top w:w="0" w:type="dxa"/>
            <w:left w:w="10" w:type="dxa"/>
            <w:bottom w:w="0" w:type="dxa"/>
            <w:right w:w="10" w:type="dxa"/>
          </w:tblCellMar>
        </w:tblPrEx>
        <w:trPr>
          <w:trHeight w:val="78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响应文件份数要求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响应文件装订和密封要求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4"/>
              </w:rPr>
              <w:t>无</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竞争性磋商文件的澄清</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pPr>
              <w:rPr>
                <w:rFonts w:hint="eastAsia" w:ascii="宋体" w:hAnsi="宋体" w:eastAsia="宋体" w:cs="宋体"/>
              </w:rPr>
            </w:pP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响应文件递交截止时间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响应文件递交地点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sz w:val="24"/>
              </w:rPr>
            </w:pPr>
            <w:r>
              <w:rPr>
                <w:rFonts w:hint="eastAsia" w:ascii="宋体" w:hAnsi="宋体"/>
                <w:sz w:val="24"/>
              </w:rPr>
              <w:t>周口市公共资源交易中心网</w:t>
            </w:r>
          </w:p>
          <w:p>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tblPrEx>
          <w:tblCellMar>
            <w:top w:w="0" w:type="dxa"/>
            <w:left w:w="10" w:type="dxa"/>
            <w:bottom w:w="0" w:type="dxa"/>
            <w:right w:w="10" w:type="dxa"/>
          </w:tblCellMar>
        </w:tblPrEx>
        <w:trPr>
          <w:trHeight w:val="55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磋商时间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tblPrEx>
          <w:tblCellMar>
            <w:top w:w="0" w:type="dxa"/>
            <w:left w:w="10" w:type="dxa"/>
            <w:bottom w:w="0" w:type="dxa"/>
            <w:right w:w="10" w:type="dxa"/>
          </w:tblCellMar>
        </w:tblPrEx>
        <w:trPr>
          <w:trHeight w:val="73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磋商程序和内容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hint="eastAsia" w:ascii="宋体" w:hAnsi="宋体" w:eastAsia="宋体" w:cs="宋体"/>
              </w:rPr>
            </w:pPr>
            <w:r>
              <w:rPr>
                <w:rFonts w:ascii="宋体" w:hAnsi="宋体" w:eastAsia="宋体" w:cs="宋体"/>
                <w:sz w:val="24"/>
              </w:rPr>
              <w:t>详见磋商文件第二章</w:t>
            </w:r>
          </w:p>
        </w:tc>
      </w:tr>
      <w:tr>
        <w:tblPrEx>
          <w:tblCellMar>
            <w:top w:w="0" w:type="dxa"/>
            <w:left w:w="10" w:type="dxa"/>
            <w:bottom w:w="0" w:type="dxa"/>
            <w:right w:w="10" w:type="dxa"/>
          </w:tblCellMar>
        </w:tblPrEx>
        <w:trPr>
          <w:trHeight w:val="105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授予合同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rPr>
          <w:trHeight w:val="81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hint="eastAsia" w:ascii="宋体" w:hAnsi="宋体" w:eastAsia="宋体" w:cs="宋体"/>
              </w:rPr>
            </w:pPr>
            <w:r>
              <w:rPr>
                <w:rFonts w:ascii="宋体" w:hAnsi="宋体" w:eastAsia="宋体" w:cs="宋体"/>
                <w:sz w:val="24"/>
              </w:rPr>
              <w:t>签订合同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tblPrEx>
          <w:tblCellMar>
            <w:top w:w="0" w:type="dxa"/>
            <w:left w:w="10" w:type="dxa"/>
            <w:bottom w:w="0" w:type="dxa"/>
            <w:right w:w="10" w:type="dxa"/>
          </w:tblCellMar>
        </w:tblPrEx>
        <w:trPr>
          <w:trHeight w:val="63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19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hint="eastAsia" w:ascii="宋体" w:hAnsi="宋体" w:eastAsia="宋体" w:cs="宋体"/>
              </w:rPr>
            </w:pPr>
            <w:r>
              <w:rPr>
                <w:rFonts w:ascii="宋体" w:hAnsi="宋体" w:eastAsia="宋体" w:cs="宋体"/>
                <w:sz w:val="24"/>
              </w:rPr>
              <w:t>投标保证金</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rPr>
            </w:pPr>
            <w:r>
              <w:rPr>
                <w:rFonts w:ascii="宋体" w:hAnsi="宋体" w:eastAsia="宋体" w:cs="宋体"/>
                <w:sz w:val="24"/>
              </w:rPr>
              <w:t>本项目不需要交纳投标保证金</w:t>
            </w:r>
          </w:p>
        </w:tc>
      </w:tr>
      <w:tr>
        <w:tblPrEx>
          <w:tblCellMar>
            <w:top w:w="0" w:type="dxa"/>
            <w:left w:w="10" w:type="dxa"/>
            <w:bottom w:w="0" w:type="dxa"/>
            <w:right w:w="10" w:type="dxa"/>
          </w:tblCellMar>
        </w:tblPrEx>
        <w:trPr>
          <w:trHeight w:val="55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20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color w:val="000000" w:themeColor="text1"/>
              </w:rPr>
            </w:pPr>
            <w:r>
              <w:rPr>
                <w:rFonts w:ascii="宋体" w:hAnsi="宋体" w:eastAsia="宋体" w:cs="宋体"/>
                <w:color w:val="000000" w:themeColor="text1"/>
                <w:sz w:val="24"/>
              </w:rPr>
              <w:t>供货周期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hint="eastAsia" w:ascii="宋体" w:hAnsi="宋体" w:eastAsia="宋体" w:cs="宋体"/>
                <w:color w:val="000000" w:themeColor="text1"/>
              </w:rPr>
            </w:pPr>
            <w:r>
              <w:rPr>
                <w:rFonts w:ascii="宋体" w:hAnsi="宋体" w:eastAsia="宋体" w:cs="宋体"/>
                <w:color w:val="000000" w:themeColor="text1"/>
                <w:sz w:val="24"/>
              </w:rPr>
              <w:t>合同签订后</w:t>
            </w:r>
            <w:r>
              <w:rPr>
                <w:rFonts w:hint="eastAsia" w:ascii="宋体" w:hAnsi="宋体" w:eastAsia="宋体" w:cs="宋体"/>
                <w:color w:val="000000" w:themeColor="text1"/>
                <w:sz w:val="24"/>
              </w:rPr>
              <w:t>30</w:t>
            </w:r>
            <w:r>
              <w:rPr>
                <w:rFonts w:ascii="宋体" w:hAnsi="宋体" w:eastAsia="宋体" w:cs="宋体"/>
                <w:color w:val="000000" w:themeColor="text1"/>
                <w:sz w:val="24"/>
              </w:rPr>
              <w:t>日历天</w:t>
            </w:r>
          </w:p>
        </w:tc>
      </w:tr>
      <w:tr>
        <w:tblPrEx>
          <w:tblCellMar>
            <w:top w:w="0" w:type="dxa"/>
            <w:left w:w="10" w:type="dxa"/>
            <w:bottom w:w="0" w:type="dxa"/>
            <w:right w:w="10" w:type="dxa"/>
          </w:tblCellMar>
        </w:tblPrEx>
        <w:trPr>
          <w:trHeight w:val="87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21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sz w:val="24"/>
              </w:rPr>
            </w:pPr>
            <w:r>
              <w:rPr>
                <w:rFonts w:ascii="宋体" w:hAnsi="宋体" w:eastAsia="宋体" w:cs="宋体"/>
                <w:sz w:val="24"/>
              </w:rPr>
              <w:t>付款方式</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color w:val="000000" w:themeColor="text1"/>
                <w:sz w:val="24"/>
              </w:rPr>
            </w:pPr>
            <w:r>
              <w:rPr>
                <w:rFonts w:hint="eastAsia" w:ascii="宋体" w:hAnsi="宋体" w:cs="宋体"/>
                <w:color w:val="000000" w:themeColor="text1"/>
                <w:sz w:val="24"/>
              </w:rPr>
              <w:t>签订合同后10日内买方支付卖方合同总金额的60%，</w:t>
            </w:r>
            <w:r>
              <w:rPr>
                <w:rFonts w:hint="eastAsia" w:ascii="宋体" w:hAnsi="宋体" w:eastAsia="宋体" w:cs="宋体"/>
                <w:color w:val="000000" w:themeColor="text1"/>
                <w:sz w:val="24"/>
              </w:rPr>
              <w:t>经验收合格后</w:t>
            </w:r>
            <w:r>
              <w:rPr>
                <w:rFonts w:hint="eastAsia" w:ascii="宋体" w:hAnsi="宋体" w:cs="宋体"/>
                <w:color w:val="000000" w:themeColor="text1"/>
                <w:sz w:val="24"/>
              </w:rPr>
              <w:t>买方支付卖方剩余40%尾款。</w:t>
            </w:r>
          </w:p>
        </w:tc>
      </w:tr>
      <w:tr>
        <w:tblPrEx>
          <w:tblCellMar>
            <w:top w:w="0" w:type="dxa"/>
            <w:left w:w="10" w:type="dxa"/>
            <w:bottom w:w="0" w:type="dxa"/>
            <w:right w:w="10" w:type="dxa"/>
          </w:tblCellMar>
        </w:tblPrEx>
        <w:trPr>
          <w:trHeight w:val="56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22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hint="eastAsia" w:ascii="宋体" w:hAnsi="宋体" w:eastAsia="宋体" w:cs="宋体"/>
              </w:rPr>
            </w:pPr>
            <w:r>
              <w:rPr>
                <w:rFonts w:ascii="宋体" w:hAnsi="宋体" w:eastAsia="宋体" w:cs="宋体"/>
                <w:sz w:val="24"/>
              </w:rPr>
              <w:t>勘察现场</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hint="eastAsia" w:ascii="宋体" w:hAnsi="宋体" w:eastAsia="宋体" w:cs="宋体"/>
              </w:rPr>
            </w:pPr>
            <w:r>
              <w:rPr>
                <w:rFonts w:hint="eastAsia" w:ascii="宋体" w:hAnsi="宋体" w:cs="宋体"/>
                <w:sz w:val="24"/>
              </w:rPr>
              <w:t>不组织，供应商自行勘察。</w:t>
            </w:r>
          </w:p>
        </w:tc>
      </w:tr>
      <w:tr>
        <w:tblPrEx>
          <w:tblCellMar>
            <w:top w:w="0" w:type="dxa"/>
            <w:left w:w="10" w:type="dxa"/>
            <w:bottom w:w="0" w:type="dxa"/>
            <w:right w:w="10" w:type="dxa"/>
          </w:tblCellMar>
        </w:tblPrEx>
        <w:trPr>
          <w:trHeight w:val="60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23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56" w:beforeLines="50"/>
              <w:ind w:firstLine="14" w:firstLineChars="6"/>
              <w:jc w:val="center"/>
              <w:rPr>
                <w:rFonts w:hint="eastAsia" w:ascii="宋体" w:hAnsi="宋体" w:eastAsia="宋体" w:cs="宋体"/>
                <w:color w:val="FF0000"/>
              </w:rPr>
            </w:pPr>
            <w:r>
              <w:rPr>
                <w:rFonts w:hint="eastAsia" w:ascii="宋体" w:hAnsi="宋体" w:cs="宋体"/>
                <w:b/>
                <w:bCs/>
                <w:sz w:val="24"/>
              </w:rPr>
              <w:t>报价</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hint="eastAsia" w:ascii="宋体" w:hAnsi="宋体" w:eastAsia="宋体" w:cs="宋体"/>
                <w:color w:val="FF0000"/>
              </w:rPr>
            </w:pPr>
            <w:r>
              <w:rPr>
                <w:rFonts w:hint="eastAsia" w:ascii="宋体" w:hAnsi="宋体" w:cs="宋体"/>
                <w:b/>
                <w:bCs/>
                <w:sz w:val="24"/>
              </w:rPr>
              <w:t>一次报价</w:t>
            </w:r>
          </w:p>
        </w:tc>
      </w:tr>
      <w:tr>
        <w:tblPrEx>
          <w:tblCellMar>
            <w:top w:w="0" w:type="dxa"/>
            <w:left w:w="10" w:type="dxa"/>
            <w:bottom w:w="0" w:type="dxa"/>
            <w:right w:w="10" w:type="dxa"/>
          </w:tblCellMar>
        </w:tblPrEx>
        <w:trPr>
          <w:trHeight w:val="59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4"/>
              </w:rPr>
            </w:pPr>
            <w:r>
              <w:rPr>
                <w:rFonts w:hint="eastAsia" w:ascii="宋体" w:hAnsi="宋体" w:eastAsia="宋体" w:cs="宋体"/>
                <w:sz w:val="24"/>
              </w:rPr>
              <w:t>24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adjustRightInd w:val="0"/>
              <w:snapToGrid w:val="0"/>
              <w:ind w:firstLine="14" w:firstLineChars="6"/>
              <w:jc w:val="center"/>
              <w:rPr>
                <w:rFonts w:hint="eastAsia" w:ascii="宋体" w:hAnsi="宋体" w:cs="宋体"/>
                <w:sz w:val="24"/>
              </w:rPr>
            </w:pPr>
            <w:r>
              <w:rPr>
                <w:rFonts w:hint="eastAsia" w:ascii="宋体" w:hAnsi="宋体" w:cs="宋体"/>
                <w:sz w:val="24"/>
              </w:rPr>
              <w:t>所属行业</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adjustRightInd w:val="0"/>
              <w:snapToGrid w:val="0"/>
              <w:jc w:val="left"/>
              <w:rPr>
                <w:rFonts w:hint="eastAsia" w:ascii="宋体" w:hAnsi="宋体" w:cs="宋体"/>
                <w:color w:val="000000" w:themeColor="text1"/>
                <w:sz w:val="24"/>
              </w:rPr>
            </w:pPr>
            <w:r>
              <w:rPr>
                <w:rFonts w:hint="eastAsia" w:ascii="宋体" w:hAnsi="宋体" w:cs="宋体"/>
                <w:color w:val="000000" w:themeColor="text1"/>
                <w:sz w:val="24"/>
              </w:rPr>
              <w:t>工业</w:t>
            </w:r>
          </w:p>
        </w:tc>
      </w:tr>
    </w:tbl>
    <w:p>
      <w:pPr>
        <w:tabs>
          <w:tab w:val="left" w:pos="0"/>
          <w:tab w:val="left" w:pos="993"/>
          <w:tab w:val="left" w:pos="1134"/>
        </w:tabs>
        <w:rPr>
          <w:rFonts w:hint="eastAsia" w:ascii="宋体" w:hAnsi="宋体" w:eastAsia="宋体" w:cs="宋体"/>
          <w:b/>
          <w:sz w:val="24"/>
        </w:rPr>
      </w:pPr>
    </w:p>
    <w:p>
      <w:pPr>
        <w:spacing w:line="720" w:lineRule="auto"/>
        <w:jc w:val="center"/>
        <w:rPr>
          <w:rFonts w:hint="eastAsia" w:ascii="宋体" w:hAnsi="宋体" w:eastAsia="宋体" w:cs="宋体"/>
          <w:b/>
          <w:sz w:val="24"/>
        </w:rPr>
      </w:pPr>
    </w:p>
    <w:p>
      <w:pPr>
        <w:spacing w:line="720" w:lineRule="auto"/>
        <w:jc w:val="center"/>
        <w:rPr>
          <w:rFonts w:hint="eastAsia" w:ascii="宋体" w:hAnsi="宋体" w:eastAsia="宋体" w:cs="宋体"/>
          <w:b/>
          <w:sz w:val="24"/>
        </w:rPr>
      </w:pPr>
    </w:p>
    <w:p>
      <w:pPr>
        <w:spacing w:line="720" w:lineRule="auto"/>
        <w:jc w:val="center"/>
        <w:rPr>
          <w:rFonts w:hint="eastAsia" w:ascii="宋体" w:hAnsi="宋体" w:eastAsia="宋体" w:cs="宋体"/>
          <w:b/>
          <w:sz w:val="24"/>
        </w:rPr>
      </w:pPr>
    </w:p>
    <w:p>
      <w:pPr>
        <w:spacing w:line="720" w:lineRule="auto"/>
        <w:rPr>
          <w:rFonts w:hint="eastAsia" w:ascii="宋体" w:hAnsi="宋体" w:eastAsia="宋体" w:cs="宋体"/>
          <w:b/>
          <w:sz w:val="24"/>
        </w:rPr>
      </w:pPr>
    </w:p>
    <w:p>
      <w:pPr>
        <w:spacing w:line="720" w:lineRule="auto"/>
        <w:jc w:val="center"/>
        <w:rPr>
          <w:rFonts w:hint="eastAsia" w:ascii="宋体" w:hAnsi="宋体" w:eastAsia="宋体" w:cs="宋体"/>
          <w:b/>
          <w:sz w:val="24"/>
        </w:rPr>
      </w:pPr>
      <w:r>
        <w:rPr>
          <w:rFonts w:ascii="宋体" w:hAnsi="宋体" w:eastAsia="宋体" w:cs="宋体"/>
          <w:b/>
          <w:sz w:val="24"/>
        </w:rPr>
        <w:t>一、总则</w:t>
      </w:r>
    </w:p>
    <w:p>
      <w:pPr>
        <w:spacing w:line="560" w:lineRule="auto"/>
        <w:ind w:firstLine="482"/>
        <w:rPr>
          <w:rFonts w:hint="eastAsia" w:ascii="宋体" w:hAnsi="宋体" w:eastAsia="宋体" w:cs="宋体"/>
          <w:sz w:val="24"/>
        </w:rPr>
      </w:pPr>
      <w:r>
        <w:rPr>
          <w:rFonts w:ascii="宋体" w:hAnsi="宋体" w:eastAsia="宋体" w:cs="宋体"/>
          <w:b/>
          <w:sz w:val="24"/>
        </w:rPr>
        <w:t>1．适用范围</w:t>
      </w:r>
    </w:p>
    <w:p>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pPr>
        <w:spacing w:line="560" w:lineRule="auto"/>
        <w:ind w:firstLine="482"/>
        <w:rPr>
          <w:rFonts w:hint="eastAsia" w:ascii="宋体" w:hAnsi="宋体" w:eastAsia="宋体" w:cs="宋体"/>
          <w:b/>
          <w:sz w:val="24"/>
        </w:rPr>
      </w:pPr>
      <w:r>
        <w:rPr>
          <w:rFonts w:ascii="宋体" w:hAnsi="宋体" w:eastAsia="宋体" w:cs="宋体"/>
          <w:b/>
          <w:sz w:val="24"/>
        </w:rPr>
        <w:t>2．定义</w:t>
      </w:r>
    </w:p>
    <w:p>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pPr>
        <w:tabs>
          <w:tab w:val="left" w:pos="0"/>
        </w:tabs>
        <w:spacing w:line="5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 xml:space="preserve"> 周口市教育体育局</w:t>
      </w:r>
    </w:p>
    <w:p>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pPr>
        <w:spacing w:line="5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pPr>
        <w:spacing w:line="560" w:lineRule="auto"/>
        <w:ind w:firstLine="482"/>
        <w:rPr>
          <w:rFonts w:hint="eastAsia" w:ascii="宋体" w:hAnsi="宋体" w:eastAsia="宋体" w:cs="宋体"/>
          <w:b/>
          <w:sz w:val="24"/>
        </w:rPr>
      </w:pPr>
      <w:r>
        <w:rPr>
          <w:rFonts w:ascii="宋体" w:hAnsi="宋体" w:eastAsia="宋体" w:cs="宋体"/>
          <w:b/>
          <w:sz w:val="24"/>
        </w:rPr>
        <w:t>3.采购预算</w:t>
      </w:r>
    </w:p>
    <w:p>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pPr>
        <w:spacing w:line="5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pPr>
        <w:spacing w:line="560" w:lineRule="auto"/>
        <w:ind w:firstLine="480"/>
        <w:rPr>
          <w:rFonts w:hint="eastAsia" w:ascii="宋体" w:hAnsi="宋体" w:eastAsia="宋体" w:cs="宋体"/>
          <w:sz w:val="24"/>
        </w:rPr>
      </w:pPr>
      <w:r>
        <w:rPr>
          <w:rFonts w:ascii="宋体" w:hAnsi="宋体" w:eastAsia="宋体" w:cs="宋体"/>
          <w:sz w:val="24"/>
        </w:rPr>
        <w:t>4.1.2参加政府采购活动前三年内，在经营活动中没有重大违法记录的声明函；</w:t>
      </w:r>
    </w:p>
    <w:p>
      <w:pPr>
        <w:spacing w:line="560" w:lineRule="auto"/>
        <w:ind w:firstLine="480"/>
        <w:rPr>
          <w:rFonts w:hint="eastAsia" w:ascii="宋体" w:hAnsi="宋体" w:eastAsia="宋体" w:cs="宋体"/>
          <w:sz w:val="24"/>
        </w:rPr>
      </w:pPr>
      <w:r>
        <w:rPr>
          <w:rFonts w:ascii="宋体" w:hAnsi="宋体" w:eastAsia="宋体" w:cs="宋体"/>
          <w:sz w:val="24"/>
        </w:rPr>
        <w:t>4.1.3政府采购供应商诚信承诺书；</w:t>
      </w:r>
    </w:p>
    <w:p>
      <w:pPr>
        <w:spacing w:line="560" w:lineRule="auto"/>
        <w:ind w:firstLine="480"/>
        <w:rPr>
          <w:rFonts w:hint="eastAsia" w:ascii="宋体" w:hAnsi="宋体" w:eastAsia="宋体" w:cs="宋体"/>
          <w:sz w:val="24"/>
        </w:rPr>
      </w:pPr>
      <w:r>
        <w:rPr>
          <w:rFonts w:ascii="宋体" w:hAnsi="宋体" w:eastAsia="宋体" w:cs="宋体"/>
          <w:sz w:val="24"/>
        </w:rPr>
        <w:t>4.1.4供应商自觉抵制政府采购领域商业贿赂行为承诺书；</w:t>
      </w:r>
    </w:p>
    <w:p>
      <w:pPr>
        <w:spacing w:line="560" w:lineRule="auto"/>
        <w:ind w:firstLine="480"/>
        <w:rPr>
          <w:rFonts w:hint="eastAsia" w:ascii="宋体" w:hAnsi="宋体" w:eastAsia="宋体" w:cs="宋体"/>
          <w:sz w:val="24"/>
        </w:rPr>
      </w:pPr>
      <w:r>
        <w:rPr>
          <w:rFonts w:ascii="宋体" w:hAnsi="宋体" w:eastAsia="宋体" w:cs="宋体"/>
          <w:sz w:val="24"/>
        </w:rPr>
        <w:t>4.2供应商需提供售后服务体系与承诺。</w:t>
      </w:r>
    </w:p>
    <w:p>
      <w:pPr>
        <w:spacing w:line="560" w:lineRule="auto"/>
        <w:ind w:firstLine="480"/>
        <w:rPr>
          <w:rFonts w:hint="eastAsia" w:ascii="宋体" w:hAnsi="宋体" w:eastAsia="宋体" w:cs="宋体"/>
          <w:sz w:val="24"/>
        </w:rPr>
      </w:pPr>
      <w:r>
        <w:rPr>
          <w:rFonts w:ascii="宋体" w:hAnsi="宋体" w:eastAsia="宋体" w:cs="宋体"/>
          <w:sz w:val="24"/>
        </w:rPr>
        <w:t>4.3符合本竞争性磋商文件规定的供应商资格要求及项目要求的其它条件，并按照要求提供相关证明材料。</w:t>
      </w:r>
    </w:p>
    <w:p>
      <w:pPr>
        <w:spacing w:line="560" w:lineRule="auto"/>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pPr>
        <w:spacing w:line="560" w:lineRule="auto"/>
        <w:ind w:firstLine="480"/>
        <w:rPr>
          <w:rFonts w:hint="eastAsia"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pPr>
        <w:spacing w:line="560" w:lineRule="auto"/>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r>
        <w:rPr>
          <w:rFonts w:ascii="宋体" w:hAnsi="宋体" w:eastAsia="宋体" w:cs="宋体"/>
          <w:sz w:val="24"/>
        </w:rPr>
        <w:t>。</w:t>
      </w:r>
    </w:p>
    <w:p>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pPr>
        <w:tabs>
          <w:tab w:val="left" w:pos="0"/>
          <w:tab w:val="left" w:pos="993"/>
          <w:tab w:val="left" w:pos="1134"/>
        </w:tabs>
        <w:ind w:firstLine="480"/>
        <w:rPr>
          <w:rFonts w:hint="eastAsia" w:ascii="宋体" w:hAnsi="宋体" w:eastAsia="宋体" w:cs="宋体"/>
          <w:sz w:val="24"/>
        </w:rPr>
      </w:pPr>
    </w:p>
    <w:p>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pPr>
        <w:spacing w:line="560" w:lineRule="auto"/>
        <w:ind w:firstLine="480"/>
        <w:rPr>
          <w:rFonts w:hint="eastAsia" w:ascii="宋体" w:hAnsi="宋体" w:eastAsia="宋体" w:cs="宋体"/>
          <w:sz w:val="24"/>
        </w:rPr>
      </w:pPr>
      <w:r>
        <w:rPr>
          <w:rFonts w:ascii="宋体" w:hAnsi="宋体" w:eastAsia="宋体" w:cs="宋体"/>
          <w:sz w:val="24"/>
        </w:rPr>
        <w:t>（2）供应商须知；</w:t>
      </w:r>
    </w:p>
    <w:p>
      <w:pPr>
        <w:spacing w:line="560" w:lineRule="auto"/>
        <w:ind w:firstLine="480"/>
        <w:rPr>
          <w:rFonts w:hint="eastAsia" w:ascii="宋体" w:hAnsi="宋体" w:eastAsia="宋体" w:cs="宋体"/>
          <w:sz w:val="24"/>
        </w:rPr>
      </w:pPr>
      <w:r>
        <w:rPr>
          <w:rFonts w:ascii="宋体" w:hAnsi="宋体" w:eastAsia="宋体" w:cs="宋体"/>
          <w:sz w:val="24"/>
        </w:rPr>
        <w:t>（3）采购需求；</w:t>
      </w:r>
    </w:p>
    <w:p>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pPr>
        <w:spacing w:line="560" w:lineRule="auto"/>
        <w:ind w:firstLine="480"/>
        <w:rPr>
          <w:rFonts w:hint="eastAsia" w:ascii="宋体" w:hAnsi="宋体" w:eastAsia="宋体" w:cs="宋体"/>
          <w:sz w:val="24"/>
        </w:rPr>
      </w:pPr>
      <w:r>
        <w:rPr>
          <w:rFonts w:ascii="宋体" w:hAnsi="宋体" w:eastAsia="宋体" w:cs="宋体"/>
          <w:sz w:val="24"/>
        </w:rPr>
        <w:t>（5）合同主要条款。</w:t>
      </w:r>
    </w:p>
    <w:p>
      <w:pPr>
        <w:spacing w:line="5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pPr>
        <w:spacing w:line="5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pPr>
        <w:spacing w:line="560" w:lineRule="auto"/>
        <w:ind w:firstLine="482"/>
        <w:rPr>
          <w:rFonts w:hint="eastAsia" w:ascii="宋体" w:hAnsi="宋体" w:eastAsia="宋体" w:cs="宋体"/>
          <w:b/>
          <w:sz w:val="24"/>
        </w:rPr>
      </w:pPr>
      <w:r>
        <w:rPr>
          <w:rFonts w:ascii="宋体" w:hAnsi="宋体" w:eastAsia="宋体" w:cs="宋体"/>
          <w:b/>
          <w:sz w:val="24"/>
        </w:rPr>
        <w:t>8.要求</w:t>
      </w:r>
    </w:p>
    <w:p>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pPr>
        <w:spacing w:line="5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pPr>
        <w:spacing w:line="5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eastAsia="宋体" w:cs="宋体"/>
          <w:sz w:val="24"/>
        </w:rPr>
        <w:t>有关证明的复印件、扫描件标注“与原件一致”。</w:t>
      </w:r>
      <w:r>
        <w:rPr>
          <w:rFonts w:ascii="宋体" w:hAnsi="宋体" w:eastAsia="宋体" w:cs="宋体"/>
          <w:sz w:val="24"/>
        </w:rPr>
        <w:t>竞争性磋商文件提供格式的按格式填列，未提供格式的可自行拟定。</w:t>
      </w:r>
    </w:p>
    <w:p>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pPr>
        <w:spacing w:line="5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pPr>
        <w:spacing w:line="560" w:lineRule="auto"/>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pPr>
        <w:spacing w:line="560" w:lineRule="auto"/>
        <w:ind w:firstLine="480"/>
        <w:rPr>
          <w:rFonts w:hint="eastAsia" w:ascii="宋体" w:hAnsi="宋体" w:eastAsia="宋体" w:cs="宋体"/>
          <w:sz w:val="24"/>
        </w:rPr>
      </w:pPr>
      <w:r>
        <w:rPr>
          <w:rFonts w:ascii="宋体" w:hAnsi="宋体" w:eastAsia="宋体" w:cs="宋体"/>
          <w:sz w:val="24"/>
        </w:rPr>
        <w:t>12.3采购人不接受有选择的报价。</w:t>
      </w:r>
    </w:p>
    <w:p>
      <w:pPr>
        <w:spacing w:line="560" w:lineRule="auto"/>
        <w:ind w:firstLine="480"/>
        <w:rPr>
          <w:rFonts w:hint="eastAsia" w:ascii="宋体" w:hAnsi="宋体" w:eastAsia="宋体" w:cs="宋体"/>
          <w:sz w:val="24"/>
        </w:rPr>
      </w:pPr>
      <w:r>
        <w:rPr>
          <w:rFonts w:ascii="宋体" w:hAnsi="宋体" w:eastAsia="宋体" w:cs="宋体"/>
          <w:sz w:val="24"/>
        </w:rPr>
        <w:t>12.4最终报价不得超过采购预算。</w:t>
      </w:r>
    </w:p>
    <w:p>
      <w:pPr>
        <w:spacing w:line="560" w:lineRule="auto"/>
        <w:ind w:firstLine="480"/>
        <w:rPr>
          <w:rFonts w:hint="eastAsia" w:ascii="宋体" w:hAnsi="宋体" w:eastAsia="宋体" w:cs="宋体"/>
          <w:sz w:val="24"/>
        </w:rPr>
      </w:pPr>
      <w:r>
        <w:rPr>
          <w:rFonts w:ascii="宋体" w:hAnsi="宋体" w:eastAsia="宋体" w:cs="宋体"/>
          <w:sz w:val="24"/>
        </w:rPr>
        <w:t>12.5报价均须以人民币为计算单位。</w:t>
      </w:r>
    </w:p>
    <w:p>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pPr>
        <w:spacing w:line="5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pPr>
        <w:spacing w:line="5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本竞争性磋商文件所表述（指定）的签章是指签字和盖章，本竞争性磋商文件所表述（指定）的公章是指法人（供应商）行政公章，不包括专用章</w:t>
      </w:r>
      <w:r>
        <w:rPr>
          <w:rFonts w:ascii="宋体" w:hAnsi="宋体" w:eastAsia="宋体" w:cs="宋体"/>
          <w:sz w:val="24"/>
        </w:rPr>
        <w:t>。</w:t>
      </w:r>
    </w:p>
    <w:p>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auto"/>
        <w:ind w:firstLine="480"/>
        <w:rPr>
          <w:rFonts w:hint="eastAsia"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pPr>
        <w:pStyle w:val="13"/>
        <w:ind w:firstLine="210"/>
      </w:pPr>
    </w:p>
    <w:p>
      <w:pPr>
        <w:tabs>
          <w:tab w:val="left" w:pos="720"/>
        </w:tabs>
        <w:spacing w:line="720" w:lineRule="auto"/>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pPr>
        <w:spacing w:line="560" w:lineRule="auto"/>
        <w:ind w:firstLine="480"/>
        <w:rPr>
          <w:rFonts w:hint="eastAsia"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pPr>
        <w:spacing w:line="560" w:lineRule="auto"/>
        <w:ind w:firstLine="480"/>
        <w:rPr>
          <w:rFonts w:hint="eastAsia"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pPr>
        <w:spacing w:line="5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pPr>
        <w:spacing w:line="560" w:lineRule="auto"/>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17.4.2响应性文件未按竞争性磋商文件规定密封、签署、盖章的；</w:t>
      </w:r>
    </w:p>
    <w:p>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pPr>
        <w:spacing w:line="720" w:lineRule="auto"/>
        <w:jc w:val="center"/>
        <w:rPr>
          <w:rFonts w:hint="eastAsia" w:ascii="宋体" w:hAnsi="宋体" w:eastAsia="宋体" w:cs="宋体"/>
          <w:b/>
          <w:sz w:val="24"/>
        </w:rPr>
      </w:pPr>
      <w:r>
        <w:rPr>
          <w:rFonts w:ascii="宋体" w:hAnsi="宋体" w:eastAsia="宋体" w:cs="宋体"/>
          <w:b/>
          <w:sz w:val="24"/>
        </w:rPr>
        <w:t>五、竞争性磋商</w:t>
      </w:r>
    </w:p>
    <w:p>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pPr>
        <w:spacing w:line="560" w:lineRule="auto"/>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供应商代表未能出具身份证正面经其签字确认的有效身份证明的</w:t>
      </w:r>
      <w:r>
        <w:rPr>
          <w:rFonts w:ascii="宋体" w:hAnsi="宋体" w:eastAsia="宋体" w:cs="宋体"/>
          <w:sz w:val="24"/>
        </w:rPr>
        <w:t>；</w:t>
      </w:r>
    </w:p>
    <w:p>
      <w:pPr>
        <w:spacing w:line="5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pPr>
        <w:spacing w:line="5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pPr>
        <w:spacing w:line="5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pPr>
        <w:spacing w:line="5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pPr>
        <w:spacing w:line="5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r>
        <w:rPr>
          <w:rFonts w:hint="eastAsia" w:ascii="宋体" w:hAnsi="宋体" w:eastAsia="宋体" w:cs="宋体"/>
          <w:sz w:val="24"/>
        </w:rPr>
        <w:t>；</w:t>
      </w:r>
    </w:p>
    <w:p>
      <w:pPr>
        <w:spacing w:line="5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pPr>
        <w:spacing w:line="560" w:lineRule="auto"/>
        <w:ind w:firstLine="480"/>
        <w:rPr>
          <w:rFonts w:hint="eastAsia" w:ascii="宋体" w:hAnsi="宋体" w:eastAsia="宋体" w:cs="宋体"/>
          <w:sz w:val="24"/>
        </w:rPr>
      </w:pPr>
      <w:r>
        <w:rPr>
          <w:rFonts w:hint="eastAsia" w:ascii="宋体" w:hAnsi="宋体" w:eastAsia="宋体" w:cs="宋体"/>
          <w:sz w:val="24"/>
        </w:rPr>
        <w:t>19.7.10不同供应商的投标（响应）文件由同一电子设备编制，打印、复印、加密或者上传的；</w:t>
      </w:r>
    </w:p>
    <w:p>
      <w:pPr>
        <w:spacing w:line="560" w:lineRule="auto"/>
        <w:ind w:firstLine="480"/>
        <w:rPr>
          <w:rFonts w:hint="eastAsia" w:ascii="宋体" w:hAnsi="宋体" w:eastAsia="宋体" w:cs="宋体"/>
          <w:sz w:val="24"/>
        </w:rPr>
      </w:pPr>
      <w:r>
        <w:rPr>
          <w:rFonts w:hint="eastAsia" w:ascii="宋体" w:hAnsi="宋体" w:eastAsia="宋体" w:cs="宋体"/>
          <w:sz w:val="24"/>
        </w:rPr>
        <w:t>19.7.11不同供应商的投标（响应）文件由同一人送达或者分发，或者不同供应商联系人为同一人或不同联系人的联系电话一致的；</w:t>
      </w:r>
    </w:p>
    <w:p>
      <w:pPr>
        <w:spacing w:line="560" w:lineRule="auto"/>
        <w:ind w:firstLine="480"/>
        <w:rPr>
          <w:rFonts w:hint="eastAsia" w:ascii="宋体" w:hAnsi="宋体" w:eastAsia="宋体" w:cs="宋体"/>
          <w:sz w:val="24"/>
        </w:rPr>
      </w:pPr>
      <w:r>
        <w:rPr>
          <w:rFonts w:hint="eastAsia" w:ascii="宋体" w:hAnsi="宋体" w:eastAsia="宋体" w:cs="宋体"/>
          <w:sz w:val="24"/>
        </w:rPr>
        <w:t>19.7.12不同供应商的投标（响应）文件的内容存在两处以上细节错误一致；</w:t>
      </w:r>
    </w:p>
    <w:p>
      <w:pPr>
        <w:spacing w:line="560" w:lineRule="auto"/>
        <w:ind w:firstLine="480"/>
        <w:rPr>
          <w:rFonts w:hint="eastAsia" w:ascii="宋体" w:hAnsi="宋体" w:eastAsia="宋体" w:cs="宋体"/>
          <w:sz w:val="24"/>
        </w:rPr>
      </w:pPr>
      <w:r>
        <w:rPr>
          <w:rFonts w:hint="eastAsia" w:ascii="宋体" w:hAnsi="宋体" w:eastAsia="宋体" w:cs="宋体"/>
          <w:sz w:val="24"/>
        </w:rPr>
        <w:t>19.7.13不同供应商的法定代表人、委托代理人、项目经理、项目负责人等由同一个单位缴纳社会保险或者领取报酬的；</w:t>
      </w:r>
    </w:p>
    <w:p>
      <w:pPr>
        <w:spacing w:line="560" w:lineRule="auto"/>
        <w:ind w:firstLine="480"/>
        <w:rPr>
          <w:rFonts w:hint="eastAsia" w:ascii="宋体" w:hAnsi="宋体" w:eastAsia="宋体" w:cs="宋体"/>
          <w:sz w:val="24"/>
        </w:rPr>
      </w:pPr>
      <w:r>
        <w:rPr>
          <w:rFonts w:hint="eastAsia" w:ascii="宋体" w:hAnsi="宋体" w:eastAsia="宋体" w:cs="宋体"/>
          <w:sz w:val="24"/>
        </w:rPr>
        <w:t>19.7.14未提供经会计师事务所或审计机构审计的财务会计报表，包括资产负债表、现金流量表、利润表、和财务情况说明书的；</w:t>
      </w:r>
    </w:p>
    <w:p>
      <w:pPr>
        <w:spacing w:line="560" w:lineRule="auto"/>
        <w:ind w:firstLine="480"/>
        <w:rPr>
          <w:rFonts w:hint="eastAsia" w:ascii="宋体" w:hAnsi="宋体" w:eastAsia="宋体" w:cs="宋体"/>
          <w:sz w:val="24"/>
        </w:rPr>
      </w:pPr>
      <w:r>
        <w:rPr>
          <w:rFonts w:hint="eastAsia" w:ascii="宋体" w:hAnsi="宋体" w:eastAsia="宋体" w:cs="宋体"/>
          <w:sz w:val="24"/>
        </w:rPr>
        <w:t>19.7.15不同供应商投标（响应）文件中法定代表人或者负责人签字出自同一人之手。</w:t>
      </w:r>
    </w:p>
    <w:p>
      <w:pPr>
        <w:spacing w:line="5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pPr>
        <w:spacing w:line="560" w:lineRule="auto"/>
        <w:ind w:firstLine="480"/>
        <w:rPr>
          <w:rFonts w:hint="eastAsia" w:ascii="宋体" w:hAnsi="宋体" w:eastAsia="宋体" w:cs="宋体"/>
          <w:color w:val="FF0000"/>
          <w:sz w:val="24"/>
        </w:rPr>
      </w:pPr>
      <w:r>
        <w:rPr>
          <w:rFonts w:ascii="宋体" w:hAnsi="宋体" w:eastAsia="宋体" w:cs="宋体"/>
          <w:sz w:val="24"/>
        </w:rPr>
        <w:t>19.8.5竞争性磋商小组认定的其他串通情形。</w:t>
      </w:r>
    </w:p>
    <w:p>
      <w:pPr>
        <w:rPr>
          <w:rFonts w:hint="eastAsia" w:ascii="宋体" w:hAnsi="宋体" w:eastAsia="宋体" w:cs="宋体"/>
          <w:sz w:val="24"/>
        </w:rPr>
      </w:pPr>
    </w:p>
    <w:tbl>
      <w:tblPr>
        <w:tblStyle w:val="9"/>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sz w:val="24"/>
              </w:rPr>
            </w:pPr>
            <w:r>
              <w:rPr>
                <w:rFonts w:ascii="宋体" w:hAnsi="宋体" w:eastAsia="宋体" w:cs="宋体"/>
                <w:sz w:val="24"/>
              </w:rPr>
              <w:t>是否</w:t>
            </w:r>
          </w:p>
          <w:p>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hint="eastAsia" w:ascii="宋体" w:hAnsi="宋体" w:eastAsia="宋体" w:cs="宋体"/>
                <w:sz w:val="24"/>
              </w:rPr>
              <w:t>投标文件格式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hint="eastAsia"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sz w:val="22"/>
              </w:rPr>
            </w:pP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pPr>
        <w:spacing w:line="560" w:lineRule="auto"/>
        <w:ind w:firstLine="482"/>
        <w:rPr>
          <w:rFonts w:hint="eastAsia" w:ascii="宋体" w:hAnsi="宋体" w:eastAsia="宋体" w:cs="宋体"/>
          <w:b/>
          <w:sz w:val="24"/>
        </w:rPr>
      </w:pPr>
      <w:r>
        <w:rPr>
          <w:rFonts w:ascii="宋体" w:hAnsi="宋体" w:eastAsia="宋体" w:cs="宋体"/>
          <w:b/>
          <w:sz w:val="24"/>
        </w:rPr>
        <w:t>21.竞争性磋商</w:t>
      </w:r>
    </w:p>
    <w:p>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pPr>
        <w:spacing w:line="560" w:lineRule="auto"/>
        <w:ind w:firstLine="480"/>
        <w:rPr>
          <w:rFonts w:hint="eastAsia" w:ascii="宋体" w:hAnsi="宋体" w:eastAsia="宋体" w:cs="宋体"/>
          <w:sz w:val="24"/>
        </w:rPr>
      </w:pPr>
      <w:r>
        <w:rPr>
          <w:rFonts w:ascii="宋体" w:hAnsi="宋体" w:eastAsia="宋体" w:cs="宋体"/>
          <w:sz w:val="24"/>
        </w:rPr>
        <w:t>21.3磋商内容包括：</w:t>
      </w:r>
    </w:p>
    <w:p>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cs="宋体"/>
          <w:color w:val="000000" w:themeColor="text1"/>
          <w:sz w:val="24"/>
          <w:lang w:val="zh-CN"/>
        </w:rPr>
      </w:pPr>
      <w:r>
        <w:rPr>
          <w:rFonts w:hint="eastAsia" w:ascii="宋体" w:hAnsi="宋体" w:cs="宋体"/>
          <w:color w:val="000000" w:themeColor="text1"/>
          <w:sz w:val="24"/>
          <w:lang w:val="zh-CN"/>
        </w:rPr>
        <w:t>21.5报价</w:t>
      </w:r>
    </w:p>
    <w:p>
      <w:pPr>
        <w:spacing w:line="560" w:lineRule="exact"/>
        <w:ind w:firstLine="480" w:firstLineChars="200"/>
        <w:rPr>
          <w:rFonts w:hint="eastAsia" w:ascii="宋体" w:hAnsi="宋体" w:eastAsia="宋体" w:cs="宋体"/>
          <w:b/>
          <w:sz w:val="24"/>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供应商的投标函和开标记录。</w:t>
      </w:r>
    </w:p>
    <w:p>
      <w:pPr>
        <w:spacing w:line="720" w:lineRule="auto"/>
        <w:jc w:val="center"/>
        <w:rPr>
          <w:rFonts w:hint="eastAsia" w:ascii="宋体" w:hAnsi="宋体" w:eastAsia="宋体" w:cs="宋体"/>
          <w:b/>
          <w:sz w:val="24"/>
        </w:rPr>
      </w:pPr>
      <w:r>
        <w:rPr>
          <w:rFonts w:ascii="宋体" w:hAnsi="宋体" w:eastAsia="宋体" w:cs="宋体"/>
          <w:b/>
          <w:sz w:val="24"/>
        </w:rPr>
        <w:t>六、评定标准</w:t>
      </w:r>
    </w:p>
    <w:p>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pPr>
        <w:spacing w:line="360" w:lineRule="auto"/>
        <w:ind w:right="-92"/>
        <w:rPr>
          <w:rFonts w:hint="eastAsia" w:ascii="宋体" w:hAnsi="宋体" w:eastAsia="宋体" w:cs="宋体"/>
          <w:sz w:val="24"/>
        </w:rPr>
      </w:pPr>
      <w:r>
        <w:rPr>
          <w:rFonts w:ascii="宋体" w:hAnsi="宋体" w:eastAsia="宋体" w:cs="宋体"/>
          <w:sz w:val="24"/>
        </w:rPr>
        <w:t>评标方法：</w:t>
      </w:r>
    </w:p>
    <w:tbl>
      <w:tblPr>
        <w:tblStyle w:val="9"/>
        <w:tblW w:w="8547" w:type="dxa"/>
        <w:jc w:val="center"/>
        <w:tblLayout w:type="autofit"/>
        <w:tblCellMar>
          <w:top w:w="0" w:type="dxa"/>
          <w:left w:w="10" w:type="dxa"/>
          <w:bottom w:w="0" w:type="dxa"/>
          <w:right w:w="10" w:type="dxa"/>
        </w:tblCellMar>
      </w:tblPr>
      <w:tblGrid>
        <w:gridCol w:w="1456"/>
        <w:gridCol w:w="1204"/>
        <w:gridCol w:w="3571"/>
        <w:gridCol w:w="2316"/>
      </w:tblGrid>
      <w:tr>
        <w:tblPrEx>
          <w:tblCellMar>
            <w:top w:w="0" w:type="dxa"/>
            <w:left w:w="10" w:type="dxa"/>
            <w:bottom w:w="0" w:type="dxa"/>
            <w:right w:w="10" w:type="dxa"/>
          </w:tblCellMar>
        </w:tblPrEx>
        <w:trPr>
          <w:jc w:val="center"/>
        </w:trPr>
        <w:tc>
          <w:tcPr>
            <w:tcW w:w="14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b/>
                <w:color w:val="000000"/>
                <w:sz w:val="24"/>
              </w:rPr>
              <w:t>评分指标</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b/>
                <w:color w:val="000000"/>
                <w:sz w:val="24"/>
              </w:rPr>
              <w:t>分值</w:t>
            </w:r>
          </w:p>
        </w:tc>
        <w:tc>
          <w:tcPr>
            <w:tcW w:w="35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b/>
                <w:color w:val="000000"/>
                <w:sz w:val="24"/>
              </w:rPr>
              <w:t>指标说明及评分标准</w:t>
            </w:r>
          </w:p>
        </w:tc>
        <w:tc>
          <w:tcPr>
            <w:tcW w:w="23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b/>
                <w:color w:val="000000"/>
                <w:sz w:val="24"/>
              </w:rPr>
              <w:t>评分依据</w:t>
            </w:r>
          </w:p>
        </w:tc>
      </w:tr>
      <w:tr>
        <w:tblPrEx>
          <w:tblCellMar>
            <w:top w:w="0" w:type="dxa"/>
            <w:left w:w="10" w:type="dxa"/>
            <w:bottom w:w="0" w:type="dxa"/>
            <w:right w:w="10" w:type="dxa"/>
          </w:tblCellMar>
        </w:tblPrEx>
        <w:trPr>
          <w:jc w:val="center"/>
        </w:trPr>
        <w:tc>
          <w:tcPr>
            <w:tcW w:w="14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b/>
                <w:sz w:val="24"/>
              </w:rPr>
              <w:t>报价得分（30分）</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sz w:val="24"/>
              </w:rPr>
              <w:t>(</w:t>
            </w:r>
            <w:r>
              <w:rPr>
                <w:rFonts w:ascii="宋体" w:hAnsi="宋体" w:eastAsia="宋体" w:cs="宋体"/>
                <w:b/>
                <w:sz w:val="24"/>
              </w:rPr>
              <w:t>30分</w:t>
            </w:r>
            <w:r>
              <w:rPr>
                <w:rFonts w:hint="eastAsia" w:ascii="宋体" w:hAnsi="宋体" w:eastAsia="宋体" w:cs="宋体"/>
                <w:b/>
                <w:sz w:val="24"/>
              </w:rPr>
              <w:t>)</w:t>
            </w:r>
          </w:p>
        </w:tc>
        <w:tc>
          <w:tcPr>
            <w:tcW w:w="58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88" w:lineRule="auto"/>
              <w:rPr>
                <w:rFonts w:hint="eastAsia"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pPr>
              <w:spacing w:line="288" w:lineRule="auto"/>
              <w:rPr>
                <w:rFonts w:hint="eastAsia" w:ascii="宋体" w:hAnsi="宋体" w:eastAsia="宋体" w:cs="宋体"/>
                <w:sz w:val="24"/>
              </w:rPr>
            </w:pPr>
            <w:r>
              <w:rPr>
                <w:rFonts w:hint="eastAsia" w:ascii="宋体" w:hAnsi="宋体" w:eastAsia="宋体" w:cs="宋体"/>
                <w:sz w:val="24"/>
              </w:rPr>
              <w:t>磋商报价得分=（磋商基准价/最后磋商报价）×30</w:t>
            </w:r>
          </w:p>
          <w:p>
            <w:pPr>
              <w:spacing w:line="288" w:lineRule="auto"/>
              <w:rPr>
                <w:rFonts w:hint="eastAsia" w:ascii="宋体" w:hAnsi="宋体" w:eastAsia="宋体" w:cs="宋体"/>
                <w:sz w:val="24"/>
              </w:rPr>
            </w:pPr>
            <w:r>
              <w:rPr>
                <w:rFonts w:hint="eastAsia" w:ascii="宋体" w:hAnsi="宋体" w:eastAsia="宋体" w:cs="宋体"/>
                <w:sz w:val="24"/>
              </w:rPr>
              <w:t>备注：价格分计算保留小数点后二位。</w:t>
            </w:r>
          </w:p>
          <w:p>
            <w:pPr>
              <w:spacing w:line="288" w:lineRule="auto"/>
              <w:rPr>
                <w:rFonts w:hint="eastAsia" w:ascii="宋体" w:hAnsi="宋体" w:eastAsia="宋体" w:cs="宋体"/>
                <w:b/>
                <w:color w:val="000000"/>
                <w:sz w:val="24"/>
              </w:rPr>
            </w:pPr>
            <w:r>
              <w:rPr>
                <w:rFonts w:ascii="宋体" w:hAnsi="宋体" w:eastAsia="宋体" w:cs="宋体"/>
                <w:b/>
                <w:color w:val="000000"/>
                <w:sz w:val="24"/>
              </w:rPr>
              <w:t>注：</w:t>
            </w:r>
          </w:p>
          <w:p>
            <w:pPr>
              <w:spacing w:line="288" w:lineRule="auto"/>
              <w:rPr>
                <w:rFonts w:hint="eastAsia" w:ascii="宋体" w:hAnsi="宋体" w:eastAsia="宋体" w:cs="宋体"/>
                <w:sz w:val="24"/>
              </w:rPr>
            </w:pPr>
            <w:r>
              <w:rPr>
                <w:rFonts w:ascii="宋体" w:hAnsi="宋体" w:eastAsia="宋体" w:cs="宋体"/>
                <w:sz w:val="24"/>
              </w:rPr>
              <w:t>1.若投标人投标价格均超过控制价，做废标处理。</w:t>
            </w:r>
          </w:p>
          <w:p>
            <w:pPr>
              <w:spacing w:line="288" w:lineRule="auto"/>
              <w:rPr>
                <w:rFonts w:hint="eastAsia" w:ascii="宋体" w:hAnsi="宋体" w:eastAsia="宋体" w:cs="宋体"/>
                <w:sz w:val="24"/>
              </w:rPr>
            </w:pPr>
            <w:r>
              <w:rPr>
                <w:rFonts w:ascii="宋体" w:hAnsi="宋体" w:eastAsia="宋体" w:cs="宋体"/>
                <w:sz w:val="24"/>
              </w:rPr>
              <w:t>2.对小型、微型、监狱企业、残疾人福利性单位投标报价给予</w:t>
            </w:r>
            <w:r>
              <w:rPr>
                <w:rFonts w:hint="eastAsia" w:ascii="宋体" w:hAnsi="宋体" w:eastAsia="宋体" w:cs="宋体"/>
                <w:sz w:val="24"/>
              </w:rPr>
              <w:t>20</w:t>
            </w:r>
            <w:r>
              <w:rPr>
                <w:rFonts w:ascii="宋体" w:hAnsi="宋体" w:eastAsia="宋体" w:cs="宋体"/>
                <w:sz w:val="24"/>
              </w:rPr>
              <w:t>%的扣除，用扣除后的价格参与评审。参加本项目的中小企业应当提供《中小企业声明函》（格式详见《政府采购促进中小企业发展管理办法》）。</w:t>
            </w:r>
          </w:p>
          <w:p>
            <w:pPr>
              <w:spacing w:line="288" w:lineRule="auto"/>
              <w:jc w:val="left"/>
              <w:rPr>
                <w:rFonts w:hint="eastAsia" w:ascii="宋体" w:hAnsi="宋体" w:eastAsia="宋体" w:cs="宋体"/>
              </w:rPr>
            </w:pPr>
            <w:r>
              <w:rPr>
                <w:rFonts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CellMar>
            <w:top w:w="0" w:type="dxa"/>
            <w:left w:w="10" w:type="dxa"/>
            <w:bottom w:w="0" w:type="dxa"/>
            <w:right w:w="10" w:type="dxa"/>
          </w:tblCellMar>
        </w:tblPrEx>
        <w:trPr>
          <w:jc w:val="center"/>
        </w:trPr>
        <w:tc>
          <w:tcPr>
            <w:tcW w:w="14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jc w:val="center"/>
              <w:rPr>
                <w:rFonts w:hint="eastAsia" w:ascii="宋体" w:hAnsi="宋体" w:eastAsia="宋体" w:cs="宋体"/>
                <w:color w:val="000000" w:themeColor="text1"/>
                <w:sz w:val="24"/>
              </w:rPr>
            </w:pPr>
            <w:r>
              <w:rPr>
                <w:rFonts w:ascii="宋体" w:hAnsi="宋体" w:eastAsia="宋体" w:cs="宋体"/>
                <w:color w:val="000000" w:themeColor="text1"/>
                <w:sz w:val="24"/>
              </w:rPr>
              <w:t>技术部分</w:t>
            </w:r>
          </w:p>
          <w:p>
            <w:pPr>
              <w:tabs>
                <w:tab w:val="left" w:pos="5130"/>
              </w:tabs>
              <w:spacing w:line="360" w:lineRule="auto"/>
              <w:jc w:val="center"/>
              <w:rPr>
                <w:rFonts w:hint="eastAsia" w:ascii="宋体" w:hAnsi="宋体" w:eastAsia="宋体" w:cs="宋体"/>
                <w:color w:val="000000" w:themeColor="text1"/>
              </w:rPr>
            </w:pPr>
            <w:r>
              <w:rPr>
                <w:rFonts w:hint="eastAsia" w:ascii="宋体" w:hAnsi="宋体" w:eastAsia="宋体" w:cs="宋体"/>
                <w:color w:val="000000" w:themeColor="text1"/>
                <w:sz w:val="24"/>
              </w:rPr>
              <w:t>（40</w:t>
            </w:r>
            <w:r>
              <w:rPr>
                <w:rFonts w:ascii="宋体" w:hAnsi="宋体" w:eastAsia="宋体" w:cs="宋体"/>
                <w:color w:val="000000" w:themeColor="text1"/>
                <w:sz w:val="24"/>
              </w:rPr>
              <w:t>分）</w:t>
            </w:r>
          </w:p>
        </w:tc>
        <w:tc>
          <w:tcPr>
            <w:tcW w:w="12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120"/>
              <w:ind w:right="-21"/>
              <w:jc w:val="center"/>
              <w:rPr>
                <w:rFonts w:hint="eastAsia" w:ascii="宋体" w:hAnsi="宋体" w:eastAsia="宋体" w:cs="宋体"/>
                <w:color w:val="000000" w:themeColor="text1"/>
                <w:sz w:val="22"/>
              </w:rPr>
            </w:pPr>
            <w:r>
              <w:rPr>
                <w:rFonts w:hint="eastAsia" w:ascii="宋体" w:hAnsi="宋体" w:eastAsia="宋体" w:cs="宋体"/>
                <w:color w:val="000000" w:themeColor="text1"/>
                <w:sz w:val="22"/>
              </w:rPr>
              <w:t>技术参数40分</w:t>
            </w:r>
          </w:p>
        </w:tc>
        <w:tc>
          <w:tcPr>
            <w:tcW w:w="58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5130"/>
              </w:tabs>
              <w:spacing w:line="288" w:lineRule="auto"/>
              <w:rPr>
                <w:rFonts w:hint="eastAsia" w:ascii="宋体" w:hAnsi="宋体" w:cs="宋体"/>
                <w:bCs/>
                <w:color w:val="000000" w:themeColor="text1"/>
                <w:sz w:val="24"/>
              </w:rPr>
            </w:pPr>
            <w:r>
              <w:rPr>
                <w:rFonts w:hint="eastAsia" w:ascii="宋体" w:hAnsi="宋体" w:cs="宋体"/>
                <w:bCs/>
                <w:color w:val="000000" w:themeColor="text1"/>
                <w:sz w:val="24"/>
              </w:rPr>
              <w:t>所投产品的技术参数、技术性能、数量满足或优于招标文件要求的，并且提供产品检测报告和相关产品认证证明材料，得基本分40分，不提供或提供但不满足视为负偏离，每一项扣2分；其他指标每有一项负偏离扣 1分，扣完为止。</w:t>
            </w:r>
          </w:p>
          <w:p>
            <w:pPr>
              <w:tabs>
                <w:tab w:val="left" w:pos="5130"/>
              </w:tabs>
              <w:spacing w:line="288" w:lineRule="auto"/>
              <w:rPr>
                <w:rFonts w:hint="eastAsia" w:ascii="宋体" w:hAnsi="宋体" w:cs="宋体"/>
                <w:bCs/>
                <w:color w:val="000000" w:themeColor="text1"/>
                <w:sz w:val="24"/>
              </w:rPr>
            </w:pPr>
            <w:r>
              <w:rPr>
                <w:rFonts w:hint="eastAsia" w:ascii="宋体" w:hAnsi="宋体" w:cs="宋体"/>
                <w:bCs/>
                <w:color w:val="000000" w:themeColor="text1"/>
                <w:sz w:val="24"/>
              </w:rPr>
              <w:t>（注：采购文件中要求提供的产品检测报告和相关产品认证证明材料，中标人须如实提供，否则将取消中标资格；中标后采购人有权要求中标人在三个工作日内提供招标公告发布前生效的检测报告和认证证明原件至采购人处核查，如不能按时提供或提供材料与投标时所用材料不符则按照虚假响应处理取消中标资格，并上报监管部门进行处理。</w:t>
            </w:r>
            <w:r>
              <w:rPr>
                <w:rFonts w:ascii="宋体" w:hAnsi="宋体" w:cs="宋体"/>
                <w:bCs/>
                <w:color w:val="000000" w:themeColor="text1"/>
                <w:sz w:val="24"/>
              </w:rPr>
              <w:t>）</w:t>
            </w:r>
          </w:p>
        </w:tc>
      </w:tr>
      <w:tr>
        <w:tblPrEx>
          <w:tblCellMar>
            <w:top w:w="0" w:type="dxa"/>
            <w:left w:w="10" w:type="dxa"/>
            <w:bottom w:w="0" w:type="dxa"/>
            <w:right w:w="10" w:type="dxa"/>
          </w:tblCellMar>
        </w:tblPrEx>
        <w:trPr>
          <w:trHeight w:val="1576" w:hRule="atLeast"/>
          <w:jc w:val="center"/>
        </w:trPr>
        <w:tc>
          <w:tcPr>
            <w:tcW w:w="1456"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jc w:val="center"/>
              <w:rPr>
                <w:rFonts w:hint="eastAsia" w:ascii="宋体" w:hAnsi="宋体" w:eastAsia="宋体" w:cs="宋体"/>
                <w:color w:val="000000" w:themeColor="text1"/>
                <w:sz w:val="24"/>
              </w:rPr>
            </w:pPr>
            <w:r>
              <w:rPr>
                <w:rFonts w:ascii="宋体" w:hAnsi="宋体" w:eastAsia="宋体" w:cs="宋体"/>
                <w:color w:val="000000" w:themeColor="text1"/>
                <w:sz w:val="24"/>
              </w:rPr>
              <w:t>商务部分</w:t>
            </w:r>
          </w:p>
          <w:p>
            <w:pPr>
              <w:tabs>
                <w:tab w:val="left" w:pos="5130"/>
              </w:tabs>
              <w:spacing w:line="360" w:lineRule="auto"/>
              <w:jc w:val="center"/>
              <w:rPr>
                <w:rFonts w:hint="eastAsia" w:ascii="宋体" w:hAnsi="宋体" w:eastAsia="宋体" w:cs="宋体"/>
                <w:color w:val="000000" w:themeColor="text1"/>
              </w:rPr>
            </w:pPr>
            <w:r>
              <w:rPr>
                <w:rFonts w:ascii="宋体" w:hAnsi="宋体" w:eastAsia="宋体" w:cs="宋体"/>
                <w:color w:val="000000" w:themeColor="text1"/>
                <w:sz w:val="24"/>
              </w:rPr>
              <w:t>（</w:t>
            </w:r>
            <w:r>
              <w:rPr>
                <w:rFonts w:hint="eastAsia" w:ascii="宋体" w:hAnsi="宋体" w:eastAsia="宋体" w:cs="宋体"/>
                <w:color w:val="000000" w:themeColor="text1"/>
                <w:sz w:val="24"/>
              </w:rPr>
              <w:t>30</w:t>
            </w:r>
            <w:r>
              <w:rPr>
                <w:rFonts w:ascii="宋体" w:hAnsi="宋体" w:eastAsia="宋体" w:cs="宋体"/>
                <w:color w:val="000000" w:themeColor="text1"/>
                <w:sz w:val="24"/>
              </w:rPr>
              <w:t>分）</w:t>
            </w:r>
          </w:p>
        </w:tc>
        <w:tc>
          <w:tcPr>
            <w:tcW w:w="1204"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400" w:lineRule="auto"/>
              <w:jc w:val="center"/>
              <w:rPr>
                <w:rFonts w:hint="eastAsia" w:ascii="宋体" w:hAnsi="宋体" w:eastAsia="宋体" w:cs="宋体"/>
                <w:color w:val="000000" w:themeColor="text1"/>
                <w:sz w:val="22"/>
              </w:rPr>
            </w:pPr>
            <w:r>
              <w:rPr>
                <w:rFonts w:hint="eastAsia" w:ascii="宋体" w:hAnsi="宋体" w:eastAsia="宋体" w:cs="宋体"/>
                <w:color w:val="000000" w:themeColor="text1"/>
                <w:sz w:val="22"/>
              </w:rPr>
              <w:t>体系认证3分</w:t>
            </w:r>
          </w:p>
        </w:tc>
        <w:tc>
          <w:tcPr>
            <w:tcW w:w="5887"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5130"/>
              </w:tabs>
              <w:adjustRightInd w:val="0"/>
              <w:snapToGrid w:val="0"/>
              <w:spacing w:line="288" w:lineRule="auto"/>
              <w:rPr>
                <w:rFonts w:hint="eastAsia" w:ascii="宋体" w:hAnsi="宋体" w:cs="宋体"/>
                <w:bCs/>
                <w:color w:val="000000" w:themeColor="text1"/>
                <w:sz w:val="24"/>
              </w:rPr>
            </w:pPr>
            <w:r>
              <w:rPr>
                <w:rFonts w:hint="eastAsia" w:ascii="宋体" w:hAnsi="宋体" w:cs="宋体"/>
                <w:bCs/>
                <w:color w:val="000000" w:themeColor="text1"/>
                <w:sz w:val="24"/>
              </w:rPr>
              <w:t>投标人和所投产品制造商同时通过ISO9001质量管理体系认证、ISO14001环境质量体系认证、ISO45001 职业健康安全管理体系认证三项认证的得3分。缺项或不提供不得分。</w:t>
            </w:r>
          </w:p>
        </w:tc>
      </w:tr>
      <w:tr>
        <w:tblPrEx>
          <w:tblCellMar>
            <w:top w:w="0" w:type="dxa"/>
            <w:left w:w="10" w:type="dxa"/>
            <w:bottom w:w="0" w:type="dxa"/>
            <w:right w:w="10" w:type="dxa"/>
          </w:tblCellMar>
        </w:tblPrEx>
        <w:trPr>
          <w:trHeight w:val="1330" w:hRule="atLeast"/>
          <w:jc w:val="center"/>
        </w:trPr>
        <w:tc>
          <w:tcPr>
            <w:tcW w:w="1456"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jc w:val="center"/>
              <w:rPr>
                <w:rFonts w:hint="eastAsia" w:ascii="宋体" w:hAnsi="宋体" w:eastAsia="宋体" w:cs="宋体"/>
                <w:color w:val="000000" w:themeColor="text1"/>
                <w:sz w:val="24"/>
              </w:rPr>
            </w:pPr>
          </w:p>
        </w:tc>
        <w:tc>
          <w:tcPr>
            <w:tcW w:w="1204"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400" w:lineRule="auto"/>
              <w:jc w:val="center"/>
              <w:rPr>
                <w:rFonts w:hint="eastAsia" w:ascii="宋体" w:hAnsi="宋体" w:eastAsia="宋体" w:cs="宋体"/>
                <w:color w:val="000000" w:themeColor="text1"/>
                <w:sz w:val="22"/>
              </w:rPr>
            </w:pPr>
            <w:r>
              <w:rPr>
                <w:rFonts w:hint="eastAsia" w:ascii="宋体" w:hAnsi="宋体" w:eastAsia="宋体" w:cs="宋体"/>
                <w:color w:val="000000" w:themeColor="text1"/>
                <w:sz w:val="22"/>
              </w:rPr>
              <w:t>企业业绩6分</w:t>
            </w:r>
          </w:p>
        </w:tc>
        <w:tc>
          <w:tcPr>
            <w:tcW w:w="5887"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5130"/>
              </w:tabs>
              <w:adjustRightInd w:val="0"/>
              <w:snapToGrid w:val="0"/>
              <w:spacing w:line="288" w:lineRule="auto"/>
              <w:rPr>
                <w:rFonts w:hint="eastAsia" w:ascii="宋体" w:hAnsi="宋体" w:cs="宋体"/>
                <w:bCs/>
                <w:color w:val="000000" w:themeColor="text1"/>
                <w:sz w:val="24"/>
              </w:rPr>
            </w:pPr>
            <w:r>
              <w:rPr>
                <w:rFonts w:hint="eastAsia" w:ascii="宋体" w:hAnsi="宋体" w:cs="宋体"/>
                <w:bCs/>
                <w:color w:val="000000" w:themeColor="text1"/>
                <w:sz w:val="24"/>
              </w:rPr>
              <w:t>供应商自 2022 年 9 月 1 日至今签订的同类业绩，每有一个得 2 分，最多得 6 分。以合同签订日期为准，提供合同扫描件，未按要求提供不得分。</w:t>
            </w:r>
          </w:p>
        </w:tc>
      </w:tr>
      <w:tr>
        <w:tblPrEx>
          <w:tblCellMar>
            <w:top w:w="0" w:type="dxa"/>
            <w:left w:w="10" w:type="dxa"/>
            <w:bottom w:w="0" w:type="dxa"/>
            <w:right w:w="10" w:type="dxa"/>
          </w:tblCellMar>
        </w:tblPrEx>
        <w:trPr>
          <w:trHeight w:val="1175" w:hRule="atLeast"/>
          <w:jc w:val="center"/>
        </w:trPr>
        <w:tc>
          <w:tcPr>
            <w:tcW w:w="1456"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jc w:val="center"/>
              <w:rPr>
                <w:rFonts w:hint="eastAsia" w:ascii="宋体" w:hAnsi="宋体" w:eastAsia="宋体" w:cs="宋体"/>
                <w:color w:val="000000" w:themeColor="text1"/>
                <w:sz w:val="24"/>
              </w:rPr>
            </w:pPr>
          </w:p>
        </w:tc>
        <w:tc>
          <w:tcPr>
            <w:tcW w:w="1204"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400" w:lineRule="auto"/>
              <w:jc w:val="center"/>
              <w:rPr>
                <w:rFonts w:hint="eastAsia" w:ascii="宋体" w:hAnsi="宋体" w:eastAsia="宋体" w:cs="宋体"/>
                <w:color w:val="000000" w:themeColor="text1"/>
                <w:sz w:val="22"/>
              </w:rPr>
            </w:pPr>
            <w:r>
              <w:rPr>
                <w:rFonts w:hint="eastAsia" w:ascii="宋体" w:hAnsi="宋体" w:eastAsia="宋体" w:cs="宋体"/>
                <w:color w:val="000000" w:themeColor="text1"/>
                <w:sz w:val="22"/>
              </w:rPr>
              <w:t>保险7分</w:t>
            </w:r>
          </w:p>
        </w:tc>
        <w:tc>
          <w:tcPr>
            <w:tcW w:w="5887"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5130"/>
              </w:tabs>
              <w:adjustRightInd w:val="0"/>
              <w:snapToGrid w:val="0"/>
              <w:spacing w:line="288" w:lineRule="auto"/>
              <w:rPr>
                <w:rFonts w:hint="eastAsia" w:ascii="宋体" w:hAnsi="宋体" w:cs="宋体"/>
                <w:bCs/>
                <w:color w:val="000000" w:themeColor="text1"/>
                <w:sz w:val="24"/>
              </w:rPr>
            </w:pPr>
            <w:r>
              <w:rPr>
                <w:rFonts w:hint="eastAsia" w:ascii="宋体" w:hAnsi="宋体" w:cs="宋体"/>
                <w:bCs/>
                <w:color w:val="000000" w:themeColor="text1"/>
                <w:sz w:val="24"/>
              </w:rPr>
              <w:t>体育器材生产厂家所投产品投保了产品质量险、产品责任险、公共责任险得 6 分，团体人身保险得 1 分，每少投一种保险该项不得分。（7 分）</w:t>
            </w:r>
          </w:p>
        </w:tc>
      </w:tr>
      <w:tr>
        <w:tblPrEx>
          <w:tblCellMar>
            <w:top w:w="0" w:type="dxa"/>
            <w:left w:w="10" w:type="dxa"/>
            <w:bottom w:w="0" w:type="dxa"/>
            <w:right w:w="10" w:type="dxa"/>
          </w:tblCellMar>
        </w:tblPrEx>
        <w:trPr>
          <w:trHeight w:val="1212" w:hRule="atLeast"/>
          <w:jc w:val="center"/>
        </w:trPr>
        <w:tc>
          <w:tcPr>
            <w:tcW w:w="1456"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jc w:val="center"/>
              <w:rPr>
                <w:rFonts w:hint="eastAsia" w:ascii="宋体" w:hAnsi="宋体" w:eastAsia="宋体" w:cs="宋体"/>
                <w:color w:val="000000" w:themeColor="text1"/>
                <w:sz w:val="24"/>
              </w:rPr>
            </w:pPr>
          </w:p>
        </w:tc>
        <w:tc>
          <w:tcPr>
            <w:tcW w:w="1204"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400" w:lineRule="auto"/>
              <w:jc w:val="center"/>
              <w:rPr>
                <w:rFonts w:hint="eastAsia" w:ascii="宋体" w:hAnsi="宋体" w:eastAsia="宋体" w:cs="宋体"/>
                <w:color w:val="000000" w:themeColor="text1"/>
                <w:sz w:val="22"/>
              </w:rPr>
            </w:pPr>
            <w:r>
              <w:rPr>
                <w:rFonts w:hint="eastAsia" w:ascii="宋体" w:hAnsi="宋体" w:eastAsia="宋体" w:cs="宋体"/>
                <w:color w:val="000000" w:themeColor="text1"/>
                <w:sz w:val="22"/>
              </w:rPr>
              <w:t>实施方案8分</w:t>
            </w:r>
          </w:p>
        </w:tc>
        <w:tc>
          <w:tcPr>
            <w:tcW w:w="5887"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5130"/>
              </w:tabs>
              <w:adjustRightInd w:val="0"/>
              <w:snapToGrid w:val="0"/>
              <w:spacing w:line="288" w:lineRule="auto"/>
              <w:rPr>
                <w:rFonts w:hint="eastAsia" w:ascii="宋体" w:hAnsi="宋体" w:cs="宋体"/>
                <w:bCs/>
                <w:color w:val="000000" w:themeColor="text1"/>
                <w:sz w:val="24"/>
              </w:rPr>
            </w:pPr>
            <w:r>
              <w:rPr>
                <w:rFonts w:hint="eastAsia" w:ascii="宋体" w:hAnsi="宋体" w:cs="宋体"/>
                <w:sz w:val="24"/>
                <w:szCs w:val="24"/>
              </w:rPr>
              <w:t>供应商的项目实施计划和方案，方案包括货物运输、安装、</w:t>
            </w:r>
            <w:r>
              <w:rPr>
                <w:rFonts w:hint="eastAsia" w:ascii="宋体" w:hAnsi="宋体" w:cs="宋体"/>
                <w:spacing w:val="-4"/>
                <w:sz w:val="24"/>
                <w:szCs w:val="24"/>
              </w:rPr>
              <w:t>调试、培训、应急预案、货物瑕疵品更换或维修方案得8</w:t>
            </w:r>
            <w:r>
              <w:rPr>
                <w:rFonts w:hint="eastAsia" w:ascii="宋体" w:hAnsi="宋体" w:cs="宋体"/>
                <w:spacing w:val="-3"/>
                <w:sz w:val="24"/>
                <w:szCs w:val="24"/>
              </w:rPr>
              <w:t>分，缺项或不提供不得分。</w:t>
            </w:r>
          </w:p>
        </w:tc>
      </w:tr>
      <w:tr>
        <w:tblPrEx>
          <w:tblCellMar>
            <w:top w:w="0" w:type="dxa"/>
            <w:left w:w="10" w:type="dxa"/>
            <w:bottom w:w="0" w:type="dxa"/>
            <w:right w:w="10" w:type="dxa"/>
          </w:tblCellMar>
        </w:tblPrEx>
        <w:trPr>
          <w:trHeight w:val="1755" w:hRule="atLeast"/>
          <w:jc w:val="center"/>
        </w:trPr>
        <w:tc>
          <w:tcPr>
            <w:tcW w:w="1456" w:type="dxa"/>
            <w:vMerge w:val="continue"/>
            <w:tcBorders>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jc w:val="center"/>
              <w:rPr>
                <w:rFonts w:hint="eastAsia" w:ascii="宋体" w:hAnsi="宋体" w:eastAsia="宋体" w:cs="宋体"/>
                <w:color w:val="000000" w:themeColor="text1"/>
                <w:sz w:val="24"/>
              </w:rPr>
            </w:pPr>
          </w:p>
        </w:tc>
        <w:tc>
          <w:tcPr>
            <w:tcW w:w="1204"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00" w:lineRule="auto"/>
              <w:jc w:val="center"/>
              <w:rPr>
                <w:rFonts w:hint="eastAsia" w:ascii="宋体" w:hAnsi="宋体" w:eastAsia="宋体" w:cs="宋体"/>
                <w:color w:val="000000" w:themeColor="text1"/>
                <w:sz w:val="22"/>
              </w:rPr>
            </w:pPr>
            <w:r>
              <w:rPr>
                <w:rFonts w:hint="eastAsia" w:ascii="宋体" w:hAnsi="宋体" w:eastAsia="宋体" w:cs="宋体"/>
                <w:color w:val="000000" w:themeColor="text1"/>
                <w:sz w:val="22"/>
              </w:rPr>
              <w:t>售后服务6分</w:t>
            </w:r>
          </w:p>
        </w:tc>
        <w:tc>
          <w:tcPr>
            <w:tcW w:w="5887" w:type="dxa"/>
            <w:gridSpan w:val="2"/>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5130"/>
              </w:tabs>
              <w:spacing w:line="288" w:lineRule="auto"/>
              <w:rPr>
                <w:rFonts w:hint="eastAsia" w:ascii="宋体" w:hAnsi="宋体" w:eastAsia="宋体" w:cs="宋体"/>
                <w:color w:val="000000" w:themeColor="text1"/>
              </w:rPr>
            </w:pPr>
            <w:r>
              <w:rPr>
                <w:rFonts w:hint="eastAsia" w:ascii="宋体" w:hAnsi="宋体" w:cs="宋体"/>
                <w:bCs/>
                <w:color w:val="000000" w:themeColor="text1"/>
                <w:sz w:val="24"/>
              </w:rPr>
              <w:t>投标人提供完善的售后服务质量保证和方案（包括售后人员安排方案、服务计划方案、服务内容阐述、按时履约的保障措施、响应时间及故障排除时间安排、应急响应方案）得 6 分，</w:t>
            </w:r>
            <w:r>
              <w:rPr>
                <w:rFonts w:hint="eastAsia" w:ascii="宋体" w:hAnsi="宋体" w:cs="宋体"/>
                <w:spacing w:val="-3"/>
                <w:sz w:val="24"/>
                <w:szCs w:val="24"/>
              </w:rPr>
              <w:t>缺项或不提供不得分</w:t>
            </w:r>
            <w:r>
              <w:rPr>
                <w:rFonts w:hint="eastAsia" w:ascii="宋体" w:hAnsi="宋体" w:cs="宋体"/>
                <w:bCs/>
                <w:color w:val="000000" w:themeColor="text1"/>
                <w:sz w:val="24"/>
              </w:rPr>
              <w:t>。</w:t>
            </w:r>
          </w:p>
        </w:tc>
      </w:tr>
    </w:tbl>
    <w:p>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pPr>
        <w:spacing w:line="720" w:lineRule="auto"/>
        <w:jc w:val="center"/>
        <w:rPr>
          <w:rFonts w:hint="eastAsia" w:ascii="宋体" w:hAnsi="宋体" w:eastAsia="宋体" w:cs="宋体"/>
          <w:b/>
          <w:sz w:val="24"/>
        </w:rPr>
      </w:pPr>
      <w:r>
        <w:rPr>
          <w:rFonts w:ascii="宋体" w:hAnsi="宋体" w:eastAsia="宋体" w:cs="宋体"/>
          <w:b/>
          <w:sz w:val="24"/>
        </w:rPr>
        <w:t>七、成交通知</w:t>
      </w:r>
    </w:p>
    <w:p>
      <w:pPr>
        <w:spacing w:line="560" w:lineRule="auto"/>
        <w:ind w:firstLine="482"/>
        <w:rPr>
          <w:rFonts w:hint="eastAsia" w:ascii="宋体" w:hAnsi="宋体" w:eastAsia="宋体" w:cs="宋体"/>
          <w:b/>
          <w:sz w:val="24"/>
        </w:rPr>
      </w:pPr>
      <w:r>
        <w:rPr>
          <w:rFonts w:ascii="宋体" w:hAnsi="宋体" w:eastAsia="宋体" w:cs="宋体"/>
          <w:b/>
          <w:sz w:val="24"/>
        </w:rPr>
        <w:t>24.成交通知</w:t>
      </w:r>
    </w:p>
    <w:p>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pPr>
        <w:spacing w:line="720" w:lineRule="auto"/>
        <w:jc w:val="center"/>
        <w:rPr>
          <w:rFonts w:hint="eastAsia" w:ascii="宋体" w:hAnsi="宋体" w:eastAsia="宋体" w:cs="宋体"/>
          <w:sz w:val="24"/>
        </w:rPr>
      </w:pPr>
      <w:r>
        <w:rPr>
          <w:rFonts w:ascii="宋体" w:hAnsi="宋体" w:eastAsia="宋体" w:cs="宋体"/>
          <w:b/>
          <w:sz w:val="24"/>
        </w:rPr>
        <w:t>八、合同授予</w:t>
      </w:r>
    </w:p>
    <w:p>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hint="eastAsia" w:ascii="宋体" w:hAnsi="宋体" w:eastAsia="宋体" w:cs="宋体"/>
          <w:b/>
          <w:sz w:val="24"/>
        </w:rPr>
      </w:pPr>
      <w:r>
        <w:rPr>
          <w:rFonts w:ascii="宋体" w:hAnsi="宋体" w:eastAsia="宋体" w:cs="宋体"/>
          <w:b/>
          <w:sz w:val="24"/>
        </w:rPr>
        <w:t>九、质疑处理</w:t>
      </w:r>
    </w:p>
    <w:p>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r>
        <w:rPr>
          <w:rFonts w:ascii="宋体" w:hAnsi="宋体" w:eastAsia="宋体" w:cs="宋体"/>
          <w:sz w:val="24"/>
        </w:rPr>
        <w:t>。</w:t>
      </w:r>
    </w:p>
    <w:p>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auto"/>
        <w:rPr>
          <w:rFonts w:hint="eastAsia" w:ascii="宋体" w:hAnsi="宋体" w:eastAsia="宋体" w:cs="宋体"/>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p>
    <w:p>
      <w:pPr>
        <w:jc w:val="center"/>
        <w:rPr>
          <w:rFonts w:hint="eastAsia" w:ascii="宋体" w:hAnsi="宋体" w:eastAsia="宋体" w:cs="宋体"/>
          <w:b/>
          <w:sz w:val="24"/>
        </w:rPr>
      </w:pPr>
      <w:r>
        <w:rPr>
          <w:rFonts w:ascii="宋体" w:hAnsi="宋体" w:eastAsia="宋体" w:cs="宋体"/>
          <w:b/>
          <w:sz w:val="24"/>
        </w:rPr>
        <w:t>第三章 采购项目内容及要求</w:t>
      </w:r>
    </w:p>
    <w:p>
      <w:pPr>
        <w:numPr>
          <w:ilvl w:val="0"/>
          <w:numId w:val="1"/>
        </w:numPr>
        <w:spacing w:line="480" w:lineRule="auto"/>
        <w:ind w:left="350"/>
        <w:rPr>
          <w:rFonts w:hint="eastAsia" w:ascii="宋体" w:hAnsi="宋体" w:eastAsia="宋体" w:cs="宋体"/>
          <w:color w:val="000000" w:themeColor="text1"/>
          <w:sz w:val="24"/>
        </w:rPr>
      </w:pPr>
      <w:r>
        <w:rPr>
          <w:rFonts w:ascii="宋体" w:hAnsi="宋体" w:eastAsia="宋体" w:cs="宋体"/>
          <w:color w:val="000000" w:themeColor="text1"/>
          <w:sz w:val="24"/>
        </w:rPr>
        <w:t>本项目采购内容：</w:t>
      </w:r>
    </w:p>
    <w:tbl>
      <w:tblPr>
        <w:tblStyle w:val="9"/>
        <w:tblW w:w="8932" w:type="dxa"/>
        <w:tblInd w:w="0" w:type="dxa"/>
        <w:tblLayout w:type="fixed"/>
        <w:tblCellMar>
          <w:top w:w="0" w:type="dxa"/>
          <w:left w:w="10" w:type="dxa"/>
          <w:bottom w:w="0" w:type="dxa"/>
          <w:right w:w="10" w:type="dxa"/>
        </w:tblCellMar>
      </w:tblPr>
      <w:tblGrid>
        <w:gridCol w:w="457"/>
        <w:gridCol w:w="656"/>
        <w:gridCol w:w="6618"/>
        <w:gridCol w:w="696"/>
        <w:gridCol w:w="505"/>
      </w:tblGrid>
      <w:tr>
        <w:tblPrEx>
          <w:tblCellMar>
            <w:top w:w="0" w:type="dxa"/>
            <w:left w:w="10" w:type="dxa"/>
            <w:bottom w:w="0" w:type="dxa"/>
            <w:right w:w="10" w:type="dxa"/>
          </w:tblCellMar>
        </w:tblPrEx>
        <w:tc>
          <w:tcPr>
            <w:tcW w:w="45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hint="eastAsia" w:ascii="宋体" w:hAnsi="宋体" w:eastAsia="宋体" w:cs="宋体"/>
                <w:color w:val="000000" w:themeColor="text1"/>
              </w:rPr>
            </w:pPr>
            <w:r>
              <w:rPr>
                <w:rFonts w:ascii="宋体" w:hAnsi="宋体" w:eastAsia="宋体" w:cs="宋体"/>
                <w:b/>
                <w:color w:val="000000" w:themeColor="text1"/>
                <w:sz w:val="24"/>
              </w:rPr>
              <w:t>序号</w:t>
            </w:r>
          </w:p>
        </w:tc>
        <w:tc>
          <w:tcPr>
            <w:tcW w:w="656" w:type="dxa"/>
            <w:tcBorders>
              <w:top w:val="single" w:color="000000" w:sz="4" w:space="0"/>
              <w:left w:val="single" w:color="000000" w:sz="0" w:space="0"/>
              <w:bottom w:val="single" w:color="000000" w:sz="4" w:space="0"/>
              <w:right w:val="single" w:color="000000" w:sz="4" w:space="0"/>
            </w:tcBorders>
            <w:tcMar>
              <w:left w:w="108" w:type="dxa"/>
              <w:right w:w="108" w:type="dxa"/>
            </w:tcMar>
            <w:vAlign w:val="center"/>
          </w:tcPr>
          <w:p>
            <w:pPr>
              <w:jc w:val="center"/>
              <w:rPr>
                <w:rFonts w:hint="eastAsia" w:ascii="宋体" w:hAnsi="宋体" w:eastAsia="宋体" w:cs="宋体"/>
                <w:color w:val="000000" w:themeColor="text1"/>
              </w:rPr>
            </w:pPr>
            <w:r>
              <w:rPr>
                <w:rFonts w:ascii="宋体" w:hAnsi="宋体" w:eastAsia="宋体" w:cs="宋体"/>
                <w:b/>
                <w:color w:val="000000" w:themeColor="text1"/>
                <w:sz w:val="24"/>
              </w:rPr>
              <w:t>货物名称</w:t>
            </w:r>
          </w:p>
        </w:tc>
        <w:tc>
          <w:tcPr>
            <w:tcW w:w="6618" w:type="dxa"/>
            <w:tcBorders>
              <w:top w:val="single" w:color="000000" w:sz="4" w:space="0"/>
              <w:left w:val="single" w:color="000000" w:sz="0" w:space="0"/>
              <w:bottom w:val="single" w:color="000000" w:sz="4" w:space="0"/>
              <w:right w:val="single" w:color="000000" w:sz="4" w:space="0"/>
            </w:tcBorders>
            <w:tcMar>
              <w:left w:w="108" w:type="dxa"/>
              <w:right w:w="108" w:type="dxa"/>
            </w:tcMar>
            <w:vAlign w:val="center"/>
          </w:tcPr>
          <w:p>
            <w:pPr>
              <w:jc w:val="center"/>
              <w:rPr>
                <w:rFonts w:hint="eastAsia" w:ascii="宋体" w:hAnsi="宋体" w:eastAsia="宋体" w:cs="宋体"/>
                <w:color w:val="000000" w:themeColor="text1"/>
              </w:rPr>
            </w:pPr>
            <w:r>
              <w:rPr>
                <w:rFonts w:ascii="宋体" w:hAnsi="宋体" w:eastAsia="宋体" w:cs="宋体"/>
                <w:b/>
                <w:color w:val="000000" w:themeColor="text1"/>
                <w:sz w:val="24"/>
              </w:rPr>
              <w:t>参数需求</w:t>
            </w:r>
          </w:p>
        </w:tc>
        <w:tc>
          <w:tcPr>
            <w:tcW w:w="696" w:type="dxa"/>
            <w:tcBorders>
              <w:top w:val="single" w:color="000000" w:sz="4" w:space="0"/>
              <w:left w:val="single" w:color="000000" w:sz="0" w:space="0"/>
              <w:bottom w:val="single" w:color="000000" w:sz="4" w:space="0"/>
              <w:right w:val="single" w:color="000000" w:sz="4" w:space="0"/>
            </w:tcBorders>
            <w:tcMar>
              <w:left w:w="108" w:type="dxa"/>
              <w:right w:w="108" w:type="dxa"/>
            </w:tcMar>
            <w:vAlign w:val="center"/>
          </w:tcPr>
          <w:p>
            <w:pPr>
              <w:jc w:val="center"/>
              <w:rPr>
                <w:rFonts w:hint="eastAsia" w:ascii="宋体" w:hAnsi="宋体" w:eastAsia="宋体" w:cs="宋体"/>
                <w:color w:val="000000" w:themeColor="text1"/>
              </w:rPr>
            </w:pPr>
            <w:r>
              <w:rPr>
                <w:rFonts w:ascii="宋体" w:hAnsi="宋体" w:eastAsia="宋体" w:cs="宋体"/>
                <w:b/>
                <w:color w:val="000000" w:themeColor="text1"/>
                <w:sz w:val="24"/>
              </w:rPr>
              <w:t>单位</w:t>
            </w:r>
          </w:p>
        </w:tc>
        <w:tc>
          <w:tcPr>
            <w:tcW w:w="505" w:type="dxa"/>
            <w:tcBorders>
              <w:top w:val="single" w:color="000000" w:sz="4" w:space="0"/>
              <w:left w:val="single" w:color="000000" w:sz="0" w:space="0"/>
              <w:bottom w:val="single" w:color="000000" w:sz="4" w:space="0"/>
              <w:right w:val="single" w:color="000000" w:sz="4" w:space="0"/>
            </w:tcBorders>
            <w:tcMar>
              <w:left w:w="108" w:type="dxa"/>
              <w:right w:w="108" w:type="dxa"/>
            </w:tcMar>
            <w:vAlign w:val="center"/>
          </w:tcPr>
          <w:p>
            <w:pPr>
              <w:jc w:val="center"/>
              <w:rPr>
                <w:rFonts w:hint="eastAsia" w:ascii="宋体" w:hAnsi="宋体" w:eastAsia="宋体" w:cs="宋体"/>
                <w:color w:val="000000" w:themeColor="text1"/>
              </w:rPr>
            </w:pPr>
            <w:r>
              <w:rPr>
                <w:rFonts w:ascii="宋体" w:hAnsi="宋体" w:eastAsia="宋体" w:cs="宋体"/>
                <w:b/>
                <w:color w:val="000000" w:themeColor="text1"/>
                <w:sz w:val="24"/>
              </w:rPr>
              <w:t>数量</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五方位体质测试驿站</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jc w:val="left"/>
              <w:rPr>
                <w:rFonts w:hint="eastAsia" w:ascii="宋体" w:hAnsi="宋体" w:eastAsia="宋体" w:cs="宋体"/>
                <w:sz w:val="24"/>
                <w:szCs w:val="24"/>
              </w:rPr>
            </w:pPr>
            <w:r>
              <w:rPr>
                <w:rFonts w:hint="eastAsia" w:ascii="宋体" w:hAnsi="宋体" w:eastAsia="宋体" w:cs="宋体"/>
                <w:sz w:val="24"/>
                <w:szCs w:val="24"/>
              </w:rPr>
              <w:t>须包含测试项目：</w:t>
            </w:r>
          </w:p>
          <w:p>
            <w:pPr>
              <w:jc w:val="left"/>
              <w:rPr>
                <w:rFonts w:hint="eastAsia" w:ascii="宋体" w:hAnsi="宋体" w:eastAsia="宋体" w:cs="宋体"/>
                <w:sz w:val="24"/>
                <w:szCs w:val="24"/>
              </w:rPr>
            </w:pPr>
            <w:r>
              <w:rPr>
                <w:rFonts w:hint="eastAsia" w:ascii="宋体" w:hAnsi="宋体" w:eastAsia="宋体" w:cs="宋体"/>
                <w:sz w:val="24"/>
                <w:szCs w:val="24"/>
              </w:rPr>
              <w:t>身高、体重、体成分、静态心率、握力、平衡</w:t>
            </w:r>
            <w:r>
              <w:rPr>
                <w:rFonts w:hint="eastAsia" w:ascii="宋体" w:hAnsi="宋体" w:cs="宋体"/>
                <w:sz w:val="24"/>
                <w:szCs w:val="24"/>
              </w:rPr>
              <w:t>、纵跳、心率恢复</w:t>
            </w:r>
            <w:r>
              <w:rPr>
                <w:rFonts w:hint="eastAsia" w:ascii="宋体" w:hAnsi="宋体" w:eastAsia="宋体" w:cs="宋体"/>
                <w:sz w:val="24"/>
                <w:szCs w:val="24"/>
              </w:rPr>
              <w:t>等不少于</w:t>
            </w:r>
            <w:r>
              <w:rPr>
                <w:rFonts w:hint="eastAsia" w:ascii="宋体" w:hAnsi="宋体" w:cs="宋体"/>
                <w:sz w:val="24"/>
                <w:szCs w:val="24"/>
              </w:rPr>
              <w:t>8</w:t>
            </w:r>
            <w:r>
              <w:rPr>
                <w:rFonts w:hint="eastAsia" w:ascii="宋体" w:hAnsi="宋体" w:eastAsia="宋体" w:cs="宋体"/>
                <w:sz w:val="24"/>
                <w:szCs w:val="24"/>
              </w:rPr>
              <w:t>项（含</w:t>
            </w:r>
            <w:r>
              <w:rPr>
                <w:rFonts w:hint="eastAsia" w:ascii="宋体" w:hAnsi="宋体" w:cs="宋体"/>
                <w:sz w:val="24"/>
                <w:szCs w:val="24"/>
              </w:rPr>
              <w:t>8</w:t>
            </w:r>
            <w:r>
              <w:rPr>
                <w:rFonts w:hint="eastAsia" w:ascii="宋体" w:hAnsi="宋体" w:eastAsia="宋体" w:cs="宋体"/>
                <w:sz w:val="24"/>
                <w:szCs w:val="24"/>
              </w:rPr>
              <w:t>项）测试功能。</w:t>
            </w:r>
          </w:p>
          <w:p>
            <w:pPr>
              <w:pStyle w:val="2"/>
              <w:ind w:firstLine="0" w:firstLineChars="0"/>
              <w:rPr>
                <w:rFonts w:hint="eastAsia" w:ascii="宋体" w:hAnsi="宋体" w:cs="宋体"/>
                <w:sz w:val="24"/>
              </w:rPr>
            </w:pPr>
            <w:r>
              <w:rPr>
                <w:rFonts w:hint="eastAsia" w:ascii="宋体" w:hAnsi="宋体" w:cs="宋体"/>
                <w:sz w:val="24"/>
              </w:rPr>
              <w:t>包含训练项目：高拉训练、推举训练、屈腿训练、伸腿训练、拉伸训练、腹肌训练。</w:t>
            </w:r>
          </w:p>
          <w:p>
            <w:pPr>
              <w:rPr>
                <w:rFonts w:hint="eastAsia" w:ascii="宋体" w:hAnsi="宋体" w:eastAsia="宋体" w:cs="宋体"/>
                <w:b/>
                <w:bCs/>
                <w:sz w:val="24"/>
                <w:szCs w:val="24"/>
              </w:rPr>
            </w:pPr>
            <w:r>
              <w:rPr>
                <w:rFonts w:hint="eastAsia" w:ascii="宋体" w:hAnsi="宋体" w:eastAsia="宋体" w:cs="宋体"/>
                <w:b/>
                <w:bCs/>
                <w:sz w:val="24"/>
                <w:szCs w:val="24"/>
              </w:rPr>
              <w:t>1、单位体测亭</w:t>
            </w:r>
          </w:p>
          <w:p>
            <w:pPr>
              <w:rPr>
                <w:rFonts w:hint="eastAsia" w:ascii="宋体" w:hAnsi="宋体" w:eastAsia="宋体" w:cs="宋体"/>
                <w:sz w:val="24"/>
                <w:szCs w:val="24"/>
              </w:rPr>
            </w:pPr>
            <w:r>
              <w:rPr>
                <w:rFonts w:hint="eastAsia" w:ascii="宋体" w:hAnsi="宋体" w:eastAsia="宋体" w:cs="宋体"/>
                <w:sz w:val="24"/>
                <w:szCs w:val="24"/>
              </w:rPr>
              <w:t>（1）产品规格：不小于4500×4300×4000mm。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（2）主要承载立柱尺寸：不小于Φ89mm×3.0mm。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（3）主要承载横梁尺寸：不小于Φ60mm×2.5mm。</w:t>
            </w:r>
          </w:p>
          <w:p>
            <w:pPr>
              <w:rPr>
                <w:rFonts w:hint="eastAsia" w:ascii="宋体" w:hAnsi="宋体" w:eastAsia="宋体" w:cs="宋体"/>
                <w:sz w:val="24"/>
                <w:szCs w:val="24"/>
              </w:rPr>
            </w:pPr>
            <w:r>
              <w:rPr>
                <w:rFonts w:hint="eastAsia" w:ascii="宋体" w:hAnsi="宋体" w:eastAsia="宋体" w:cs="宋体"/>
                <w:sz w:val="24"/>
                <w:szCs w:val="24"/>
              </w:rPr>
              <w:t>（4）伞膜结构：能承受一定的外荷载作用，伞膜结构需经过防风积雪压设计，膜材需用优质膜，耐候性强，至少可以满足室外使用年限8年。</w:t>
            </w:r>
          </w:p>
          <w:p>
            <w:pPr>
              <w:rPr>
                <w:rFonts w:hint="eastAsia" w:ascii="宋体" w:hAnsi="宋体" w:eastAsia="宋体" w:cs="宋体"/>
                <w:sz w:val="24"/>
                <w:szCs w:val="24"/>
              </w:rPr>
            </w:pPr>
            <w:r>
              <w:rPr>
                <w:rFonts w:hint="eastAsia" w:ascii="宋体" w:hAnsi="宋体" w:eastAsia="宋体" w:cs="宋体"/>
                <w:sz w:val="24"/>
                <w:szCs w:val="24"/>
              </w:rPr>
              <w:t>（5）太阳能供电系统，由太阳能板、蓄电池、控制器等组成，节能环保；蓄电池电压不不大于15伏。</w:t>
            </w:r>
          </w:p>
          <w:p>
            <w:pPr>
              <w:rPr>
                <w:rFonts w:hint="eastAsia" w:ascii="宋体" w:hAnsi="宋体" w:eastAsia="宋体" w:cs="宋体"/>
                <w:sz w:val="24"/>
                <w:szCs w:val="24"/>
                <w:highlight w:val="yellow"/>
              </w:rPr>
            </w:pPr>
            <w:r>
              <w:rPr>
                <w:rFonts w:hint="eastAsia" w:ascii="宋体" w:hAnsi="宋体" w:eastAsia="宋体" w:cs="宋体"/>
                <w:sz w:val="24"/>
                <w:szCs w:val="24"/>
              </w:rPr>
              <w:t>（6）设备测试功能：不少于8项测试功能（须包含身高、体重、体成分、静态心率、握力、平衡</w:t>
            </w:r>
            <w:r>
              <w:rPr>
                <w:rFonts w:hint="eastAsia" w:ascii="宋体" w:hAnsi="宋体" w:cs="宋体"/>
                <w:sz w:val="24"/>
                <w:szCs w:val="24"/>
              </w:rPr>
              <w:t>、纵跳、心率恢复</w:t>
            </w:r>
            <w:r>
              <w:rPr>
                <w:rFonts w:hint="eastAsia" w:ascii="宋体" w:hAnsi="宋体" w:eastAsia="宋体" w:cs="宋体"/>
                <w:sz w:val="24"/>
                <w:szCs w:val="24"/>
              </w:rPr>
              <w:t>等）。</w:t>
            </w:r>
          </w:p>
          <w:p>
            <w:pPr>
              <w:rPr>
                <w:rFonts w:hint="eastAsia" w:ascii="宋体" w:hAnsi="宋体" w:eastAsia="宋体" w:cs="宋体"/>
                <w:sz w:val="24"/>
                <w:szCs w:val="24"/>
                <w:highlight w:val="yellow"/>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（8）使用微信小程序连接手机端智慧平台后，可显示、存储、分析运动数据，用户可以查看自己运动状态，可通过手机端系统实现一键报修功能，操作简单实用。</w:t>
            </w:r>
          </w:p>
          <w:p>
            <w:pPr>
              <w:rPr>
                <w:rFonts w:hint="eastAsia" w:ascii="宋体" w:hAnsi="宋体" w:eastAsia="宋体" w:cs="宋体"/>
                <w:sz w:val="24"/>
                <w:szCs w:val="24"/>
              </w:rPr>
            </w:pPr>
            <w:r>
              <w:rPr>
                <w:rFonts w:hint="eastAsia" w:ascii="宋体" w:hAnsi="宋体" w:eastAsia="宋体" w:cs="宋体"/>
                <w:sz w:val="24"/>
                <w:szCs w:val="24"/>
              </w:rPr>
              <w:t>（9）器材具有设备使用指导语音播报和结果播报功能。</w:t>
            </w:r>
          </w:p>
          <w:p>
            <w:pPr>
              <w:rPr>
                <w:rFonts w:hint="eastAsia" w:ascii="宋体" w:hAnsi="宋体" w:eastAsia="宋体" w:cs="宋体"/>
                <w:sz w:val="24"/>
                <w:szCs w:val="24"/>
              </w:rPr>
            </w:pPr>
            <w:r>
              <w:rPr>
                <w:rFonts w:hint="eastAsia" w:ascii="宋体" w:hAnsi="宋体" w:eastAsia="宋体" w:cs="宋体"/>
                <w:sz w:val="24"/>
                <w:szCs w:val="24"/>
              </w:rPr>
              <w:t>（10）手机端智慧平台可观看健身视频指导，学习训练动作。</w:t>
            </w:r>
          </w:p>
          <w:p>
            <w:pPr>
              <w:rPr>
                <w:rFonts w:hint="eastAsia" w:ascii="宋体" w:hAnsi="宋体" w:eastAsia="宋体" w:cs="宋体"/>
                <w:sz w:val="24"/>
                <w:szCs w:val="24"/>
              </w:rPr>
            </w:pPr>
            <w:r>
              <w:rPr>
                <w:rFonts w:hint="eastAsia" w:ascii="宋体" w:hAnsi="宋体" w:eastAsia="宋体" w:cs="宋体"/>
                <w:sz w:val="24"/>
                <w:szCs w:val="24"/>
              </w:rPr>
              <w:t>（11）管理方在电脑端智慧平台，可查看器材使用频率、器材状态、用户运动时间、次数、消耗卡路里等大数据，可分析不同人群、不同安装区域的用户、器材的大数据，并提供分级管理。</w:t>
            </w:r>
          </w:p>
          <w:p>
            <w:pPr>
              <w:rPr>
                <w:rFonts w:hint="eastAsia" w:ascii="宋体" w:hAnsi="宋体" w:eastAsia="宋体" w:cs="宋体"/>
                <w:sz w:val="24"/>
                <w:szCs w:val="24"/>
              </w:rPr>
            </w:pPr>
            <w:r>
              <w:rPr>
                <w:rFonts w:hint="eastAsia" w:ascii="宋体" w:hAnsi="宋体" w:eastAsia="宋体" w:cs="宋体"/>
                <w:sz w:val="24"/>
                <w:szCs w:val="24"/>
              </w:rPr>
              <w:t>（12）需要配置地台，地台材质需采用滚塑耐高温不低于60℃、耐低温不高于-40℃环境使用。</w:t>
            </w:r>
          </w:p>
          <w:p>
            <w:pPr>
              <w:rPr>
                <w:rFonts w:hint="eastAsia" w:ascii="宋体" w:hAnsi="宋体" w:eastAsia="宋体" w:cs="宋体"/>
                <w:b/>
                <w:bCs/>
                <w:sz w:val="24"/>
                <w:szCs w:val="24"/>
              </w:rPr>
            </w:pPr>
            <w:r>
              <w:rPr>
                <w:rFonts w:hint="eastAsia" w:ascii="宋体" w:hAnsi="宋体" w:eastAsia="宋体" w:cs="宋体"/>
                <w:sz w:val="24"/>
                <w:szCs w:val="24"/>
              </w:rPr>
              <w:t>（13）</w:t>
            </w:r>
            <w:r>
              <w:rPr>
                <w:rFonts w:hint="eastAsia" w:ascii="宋体" w:hAnsi="宋体" w:eastAsia="宋体" w:cs="宋体"/>
                <w:b/>
                <w:bCs/>
                <w:sz w:val="24"/>
                <w:szCs w:val="24"/>
              </w:rPr>
              <w:t>器材符合GB 19272-2011《室外健身器材的安全通用要求》，提供具有CMA或CNAS资质的检测机构出具的检验合格的报告。</w:t>
            </w:r>
          </w:p>
          <w:p>
            <w:pPr>
              <w:rPr>
                <w:rFonts w:hint="eastAsia" w:ascii="宋体" w:hAnsi="宋体" w:eastAsia="宋体" w:cs="宋体"/>
                <w:b/>
                <w:bCs/>
                <w:sz w:val="24"/>
                <w:szCs w:val="24"/>
              </w:rPr>
            </w:pPr>
            <w:r>
              <w:rPr>
                <w:rFonts w:hint="eastAsia" w:ascii="宋体" w:hAnsi="宋体" w:eastAsia="宋体" w:cs="宋体"/>
                <w:b/>
                <w:bCs/>
                <w:sz w:val="24"/>
                <w:szCs w:val="24"/>
              </w:rPr>
              <w:t>2、拉伸机</w:t>
            </w:r>
          </w:p>
          <w:p>
            <w:pPr>
              <w:rPr>
                <w:rFonts w:hint="eastAsia" w:ascii="宋体" w:hAnsi="宋体" w:eastAsia="宋体" w:cs="宋体"/>
                <w:sz w:val="24"/>
                <w:szCs w:val="24"/>
              </w:rPr>
            </w:pPr>
            <w:r>
              <w:rPr>
                <w:rFonts w:hint="eastAsia" w:ascii="宋体" w:hAnsi="宋体" w:eastAsia="宋体" w:cs="宋体"/>
                <w:sz w:val="24"/>
                <w:szCs w:val="24"/>
              </w:rPr>
              <w:t>（1）产品规格：不小于1</w:t>
            </w:r>
            <w:r>
              <w:rPr>
                <w:rFonts w:hint="eastAsia" w:ascii="宋体" w:hAnsi="宋体" w:cs="宋体"/>
                <w:sz w:val="24"/>
                <w:szCs w:val="24"/>
              </w:rPr>
              <w:t>000</w:t>
            </w:r>
            <w:r>
              <w:rPr>
                <w:rFonts w:hint="eastAsia" w:ascii="宋体" w:hAnsi="宋体" w:eastAsia="宋体" w:cs="宋体"/>
                <w:sz w:val="24"/>
                <w:szCs w:val="24"/>
              </w:rPr>
              <w:t>×600×</w:t>
            </w:r>
            <w:r>
              <w:rPr>
                <w:rFonts w:hint="eastAsia" w:ascii="宋体" w:hAnsi="宋体" w:cs="宋体"/>
                <w:sz w:val="24"/>
                <w:szCs w:val="24"/>
              </w:rPr>
              <w:t>9</w:t>
            </w:r>
            <w:r>
              <w:rPr>
                <w:rFonts w:hint="eastAsia" w:ascii="宋体" w:hAnsi="宋体" w:eastAsia="宋体" w:cs="宋体"/>
                <w:sz w:val="24"/>
                <w:szCs w:val="24"/>
              </w:rPr>
              <w:t>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（2）主要承载立柱尺寸：不小于Φ60mm×3.0mm。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（3）主要承载横梁尺寸：不小于Φ40mm×80mm×3.0mm。</w:t>
            </w:r>
          </w:p>
          <w:p>
            <w:pPr>
              <w:rPr>
                <w:rFonts w:hint="eastAsia" w:ascii="宋体" w:hAnsi="宋体" w:eastAsia="宋体" w:cs="宋体"/>
                <w:sz w:val="24"/>
                <w:szCs w:val="24"/>
              </w:rPr>
            </w:pPr>
            <w:r>
              <w:rPr>
                <w:rFonts w:hint="eastAsia" w:ascii="宋体" w:hAnsi="宋体" w:eastAsia="宋体" w:cs="宋体"/>
                <w:sz w:val="24"/>
                <w:szCs w:val="24"/>
              </w:rPr>
              <w:t>（4）锻炼部位包括但不限于：背部、腘绳肌、臀部.髋部、大腿内侧，腹股沟、肩部、四头肌等。</w:t>
            </w:r>
          </w:p>
          <w:p>
            <w:pPr>
              <w:rPr>
                <w:rFonts w:hint="eastAsia" w:ascii="宋体" w:hAnsi="宋体" w:eastAsia="宋体" w:cs="宋体"/>
                <w:b/>
                <w:bCs/>
                <w:sz w:val="24"/>
                <w:szCs w:val="24"/>
              </w:rPr>
            </w:pPr>
            <w:r>
              <w:rPr>
                <w:rFonts w:hint="eastAsia" w:ascii="宋体" w:hAnsi="宋体" w:eastAsia="宋体" w:cs="宋体"/>
                <w:sz w:val="24"/>
                <w:szCs w:val="24"/>
              </w:rPr>
              <w:t>（5）</w:t>
            </w:r>
            <w:r>
              <w:rPr>
                <w:rFonts w:hint="eastAsia" w:ascii="宋体" w:hAnsi="宋体" w:eastAsia="宋体" w:cs="宋体"/>
                <w:b/>
                <w:bCs/>
                <w:sz w:val="24"/>
                <w:szCs w:val="24"/>
              </w:rPr>
              <w:t>器材符合GB 19272-2011《室外健身器材的安全通用要求》，提供具有CMA或CNAS资质的检测机构出具的检验合格的报告。</w:t>
            </w:r>
          </w:p>
          <w:p>
            <w:pPr>
              <w:rPr>
                <w:rFonts w:hint="eastAsia" w:ascii="宋体" w:hAnsi="宋体" w:eastAsia="宋体" w:cs="宋体"/>
                <w:b/>
                <w:bCs/>
                <w:sz w:val="24"/>
                <w:szCs w:val="24"/>
              </w:rPr>
            </w:pPr>
            <w:r>
              <w:rPr>
                <w:rFonts w:hint="eastAsia" w:ascii="宋体" w:hAnsi="宋体" w:eastAsia="宋体" w:cs="宋体"/>
                <w:b/>
                <w:bCs/>
                <w:sz w:val="24"/>
                <w:szCs w:val="24"/>
              </w:rPr>
              <w:t>3、单位腹肌板</w:t>
            </w:r>
          </w:p>
          <w:p>
            <w:pPr>
              <w:rPr>
                <w:rFonts w:hint="eastAsia" w:ascii="宋体" w:hAnsi="宋体" w:eastAsia="宋体" w:cs="宋体"/>
                <w:sz w:val="24"/>
                <w:szCs w:val="24"/>
              </w:rPr>
            </w:pPr>
            <w:r>
              <w:rPr>
                <w:rFonts w:hint="eastAsia" w:ascii="宋体" w:hAnsi="宋体" w:eastAsia="宋体" w:cs="宋体"/>
                <w:sz w:val="24"/>
                <w:szCs w:val="24"/>
              </w:rPr>
              <w:t>（1）产品规格：不小于1100mm×450mm×450mm。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（2）主要承载立柱尺寸：不小于Φ89mm×3.0mm。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（3）主要承载横梁尺寸：不小于Φ38mm×3.0mm。</w:t>
            </w:r>
          </w:p>
          <w:p>
            <w:pPr>
              <w:rPr>
                <w:rFonts w:hint="eastAsia" w:ascii="宋体" w:hAnsi="宋体" w:eastAsia="宋体" w:cs="宋体"/>
                <w:sz w:val="24"/>
                <w:szCs w:val="24"/>
              </w:rPr>
            </w:pPr>
            <w:r>
              <w:rPr>
                <w:rFonts w:hint="eastAsia" w:ascii="宋体" w:hAnsi="宋体" w:eastAsia="宋体" w:cs="宋体"/>
                <w:sz w:val="24"/>
                <w:szCs w:val="24"/>
              </w:rPr>
              <w:t>（4）锻炼部位包括但不限于：腹肌、背肌。</w:t>
            </w:r>
          </w:p>
          <w:p>
            <w:pPr>
              <w:rPr>
                <w:rFonts w:hint="eastAsia" w:ascii="宋体" w:hAnsi="宋体" w:eastAsia="宋体" w:cs="宋体"/>
                <w:b/>
                <w:bCs/>
                <w:sz w:val="24"/>
                <w:szCs w:val="24"/>
              </w:rPr>
            </w:pPr>
            <w:r>
              <w:rPr>
                <w:rFonts w:hint="eastAsia" w:ascii="宋体" w:hAnsi="宋体" w:eastAsia="宋体" w:cs="宋体"/>
                <w:sz w:val="24"/>
                <w:szCs w:val="24"/>
              </w:rPr>
              <w:t>（5）</w:t>
            </w:r>
            <w:r>
              <w:rPr>
                <w:rFonts w:hint="eastAsia" w:ascii="宋体" w:hAnsi="宋体" w:eastAsia="宋体" w:cs="宋体"/>
                <w:b/>
                <w:bCs/>
                <w:sz w:val="24"/>
                <w:szCs w:val="24"/>
              </w:rPr>
              <w:t>器材符合GB 19272-2011《室外健身器材的安全通用要求》，提供具有CMA或CNAS资质的检测机构出具的检验合格的报告。</w:t>
            </w:r>
          </w:p>
          <w:p>
            <w:pPr>
              <w:rPr>
                <w:rFonts w:hint="eastAsia" w:ascii="宋体" w:hAnsi="宋体" w:eastAsia="宋体" w:cs="宋体"/>
                <w:b/>
                <w:bCs/>
                <w:sz w:val="24"/>
                <w:szCs w:val="24"/>
              </w:rPr>
            </w:pPr>
            <w:r>
              <w:rPr>
                <w:rFonts w:hint="eastAsia" w:ascii="宋体" w:hAnsi="宋体" w:eastAsia="宋体" w:cs="宋体"/>
                <w:b/>
                <w:bCs/>
                <w:sz w:val="24"/>
                <w:szCs w:val="24"/>
              </w:rPr>
              <w:t>4、高拉推举训练器</w:t>
            </w:r>
          </w:p>
          <w:p>
            <w:pPr>
              <w:rPr>
                <w:rFonts w:hint="eastAsia" w:ascii="宋体" w:hAnsi="宋体" w:eastAsia="宋体" w:cs="宋体"/>
                <w:sz w:val="24"/>
                <w:szCs w:val="24"/>
              </w:rPr>
            </w:pPr>
            <w:r>
              <w:rPr>
                <w:rFonts w:hint="eastAsia" w:ascii="宋体" w:hAnsi="宋体" w:eastAsia="宋体" w:cs="宋体"/>
                <w:sz w:val="24"/>
                <w:szCs w:val="24"/>
              </w:rPr>
              <w:t>（1）产品规格：不小于1600×900×1200mm。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（3）主要承载横梁尺寸：不小于PT</w:t>
            </w:r>
            <w:r>
              <w:rPr>
                <w:rFonts w:hint="eastAsia" w:ascii="宋体" w:hAnsi="宋体" w:cs="宋体"/>
                <w:sz w:val="24"/>
                <w:szCs w:val="24"/>
              </w:rPr>
              <w:t>4</w:t>
            </w:r>
            <w:r>
              <w:rPr>
                <w:rFonts w:hint="eastAsia" w:ascii="宋体" w:hAnsi="宋体" w:eastAsia="宋体" w:cs="宋体"/>
                <w:sz w:val="24"/>
                <w:szCs w:val="24"/>
              </w:rPr>
              <w:t>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（9）主要锻炼部位：背阔肌、斜方肌、肱二头肌、三角肌、肱三头肌。</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w:t>
            </w:r>
          </w:p>
          <w:p>
            <w:pPr>
              <w:rPr>
                <w:rFonts w:hint="eastAsia" w:ascii="宋体" w:hAnsi="宋体" w:eastAsia="宋体" w:cs="宋体"/>
                <w:sz w:val="24"/>
                <w:szCs w:val="24"/>
              </w:rPr>
            </w:pPr>
            <w:r>
              <w:rPr>
                <w:rFonts w:hint="eastAsia" w:ascii="宋体" w:hAnsi="宋体" w:eastAsia="宋体" w:cs="宋体"/>
                <w:sz w:val="24"/>
                <w:szCs w:val="24"/>
              </w:rPr>
              <w:t>（12）手机端智慧平台可观看健身视频指导，不仅可以学习训练动作，还可以看到发力肌肉，达到科学智慧健身目的。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rPr>
                <w:rFonts w:hint="eastAsia" w:ascii="宋体" w:hAnsi="宋体" w:eastAsia="宋体" w:cs="宋体"/>
                <w:b/>
                <w:bCs/>
                <w:sz w:val="24"/>
                <w:szCs w:val="24"/>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p>
            <w:pPr>
              <w:rPr>
                <w:rFonts w:hint="eastAsia" w:ascii="宋体" w:hAnsi="宋体" w:eastAsia="宋体" w:cs="宋体"/>
                <w:b/>
                <w:bCs/>
                <w:sz w:val="24"/>
                <w:szCs w:val="24"/>
              </w:rPr>
            </w:pPr>
            <w:r>
              <w:rPr>
                <w:rFonts w:hint="eastAsia" w:ascii="宋体" w:hAnsi="宋体" w:eastAsia="宋体" w:cs="宋体"/>
                <w:b/>
                <w:bCs/>
                <w:sz w:val="24"/>
                <w:szCs w:val="24"/>
              </w:rPr>
              <w:t>5、腿部屈伸训练器</w:t>
            </w:r>
          </w:p>
          <w:p>
            <w:pPr>
              <w:rPr>
                <w:rFonts w:hint="eastAsia" w:ascii="宋体" w:hAnsi="宋体" w:eastAsia="宋体" w:cs="宋体"/>
                <w:sz w:val="24"/>
                <w:szCs w:val="24"/>
              </w:rPr>
            </w:pPr>
            <w:r>
              <w:rPr>
                <w:rFonts w:hint="eastAsia" w:ascii="宋体" w:hAnsi="宋体" w:eastAsia="宋体" w:cs="宋体"/>
                <w:sz w:val="24"/>
                <w:szCs w:val="24"/>
              </w:rPr>
              <w:t>（1）产品规格：不小于1100×1000×1200mm。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（3）主要承载横梁尺寸：不小于PT</w:t>
            </w:r>
            <w:r>
              <w:rPr>
                <w:rFonts w:hint="eastAsia" w:ascii="宋体" w:hAnsi="宋体" w:cs="宋体"/>
                <w:sz w:val="24"/>
                <w:szCs w:val="24"/>
              </w:rPr>
              <w:t>4</w:t>
            </w:r>
            <w:r>
              <w:rPr>
                <w:rFonts w:hint="eastAsia" w:ascii="宋体" w:hAnsi="宋体" w:eastAsia="宋体" w:cs="宋体"/>
                <w:sz w:val="24"/>
                <w:szCs w:val="24"/>
              </w:rPr>
              <w:t>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（9）主要锻炼部位：股直肌、股四头肌、腘绳肌。</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rPr>
                <w:rFonts w:hint="eastAsia" w:ascii="宋体" w:hAnsi="宋体" w:eastAsia="宋体" w:cs="宋体"/>
                <w:kern w:val="2"/>
                <w:sz w:val="24"/>
                <w:szCs w:val="24"/>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套</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双功能屈伸上肢训练器（组合）</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tcPr>
          <w:p>
            <w:pPr>
              <w:rPr>
                <w:rFonts w:hint="eastAsia" w:ascii="宋体" w:hAnsi="宋体" w:eastAsia="宋体" w:cs="宋体"/>
                <w:sz w:val="24"/>
                <w:szCs w:val="24"/>
              </w:rPr>
            </w:pPr>
            <w:r>
              <w:rPr>
                <w:rFonts w:hint="eastAsia" w:ascii="宋体" w:hAnsi="宋体" w:eastAsia="宋体" w:cs="宋体"/>
                <w:sz w:val="24"/>
                <w:szCs w:val="24"/>
              </w:rPr>
              <w:t>（1）产品规格：不小于1100×1100×1300mm。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（3）主要承载横梁尺寸：不小于PT</w:t>
            </w:r>
            <w:r>
              <w:rPr>
                <w:rFonts w:hint="eastAsia" w:ascii="宋体" w:hAnsi="宋体" w:cs="宋体"/>
                <w:sz w:val="24"/>
                <w:szCs w:val="24"/>
              </w:rPr>
              <w:t>4</w:t>
            </w:r>
            <w:r>
              <w:rPr>
                <w:rFonts w:hint="eastAsia" w:ascii="宋体" w:hAnsi="宋体" w:eastAsia="宋体" w:cs="宋体"/>
                <w:sz w:val="24"/>
                <w:szCs w:val="24"/>
              </w:rPr>
              <w:t>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（9）主要锻炼部位：肱二头肌、肱三头肌。</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（11）使用微信小程序连接手机端智慧平台后，可显示、存储、分析运动数据，使用者可以了解自己运动状态，可通过手机端系统实现一键报修功能，可查看实时排名，操作简单实用。</w:t>
            </w:r>
          </w:p>
          <w:p>
            <w:pPr>
              <w:rPr>
                <w:rFonts w:hint="eastAsia" w:ascii="宋体" w:hAnsi="宋体" w:eastAsia="宋体" w:cs="宋体"/>
                <w:sz w:val="24"/>
                <w:szCs w:val="24"/>
              </w:rPr>
            </w:pPr>
            <w:r>
              <w:rPr>
                <w:rFonts w:hint="eastAsia" w:ascii="宋体" w:hAnsi="宋体" w:eastAsia="宋体" w:cs="宋体"/>
                <w:sz w:val="24"/>
                <w:szCs w:val="24"/>
              </w:rPr>
              <w:t>（12）手机端智慧平台可观看健身视频指导，不仅可以学习训练动作，还可以看到发力肌肉，达到科学智慧健身目的。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tabs>
                <w:tab w:val="left" w:pos="420"/>
              </w:tabs>
              <w:spacing w:line="276" w:lineRule="auto"/>
              <w:rPr>
                <w:rFonts w:hint="eastAsia" w:ascii="宋体" w:hAnsi="宋体" w:eastAsia="宋体" w:cs="宋体"/>
                <w:color w:val="000000" w:themeColor="text1"/>
                <w:sz w:val="22"/>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3</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双功能划船推胸训练器（组合）</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（1）产品规格：不小于1</w:t>
            </w:r>
            <w:r>
              <w:rPr>
                <w:rFonts w:hint="eastAsia" w:ascii="宋体" w:hAnsi="宋体" w:cs="宋体"/>
                <w:sz w:val="24"/>
                <w:szCs w:val="24"/>
              </w:rPr>
              <w:t>2</w:t>
            </w:r>
            <w:r>
              <w:rPr>
                <w:rFonts w:hint="eastAsia" w:ascii="宋体" w:hAnsi="宋体" w:eastAsia="宋体" w:cs="宋体"/>
                <w:sz w:val="24"/>
                <w:szCs w:val="24"/>
              </w:rPr>
              <w:t>50×900×1200mm。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（3）主要承载横梁尺寸：不小于PT</w:t>
            </w:r>
            <w:r>
              <w:rPr>
                <w:rFonts w:hint="eastAsia" w:ascii="宋体" w:hAnsi="宋体" w:cs="宋体"/>
                <w:sz w:val="24"/>
                <w:szCs w:val="24"/>
              </w:rPr>
              <w:t>4</w:t>
            </w:r>
            <w:r>
              <w:rPr>
                <w:rFonts w:hint="eastAsia" w:ascii="宋体" w:hAnsi="宋体" w:eastAsia="宋体" w:cs="宋体"/>
                <w:sz w:val="24"/>
                <w:szCs w:val="24"/>
              </w:rPr>
              <w:t>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（9）主要锻炼部位：胸大肌、三角肌前束、斜方肌、背阔肌、肱二头肌。</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（11）使用微信小程序连接手机端智慧平台后，可显示、存储、分析运动数据，使用者可以了解自己运动状态，可通过手机端系统实现一键报修功能，可查看实时排名，操作简单实用。</w:t>
            </w:r>
          </w:p>
          <w:p>
            <w:pPr>
              <w:rPr>
                <w:rFonts w:hint="eastAsia" w:ascii="宋体" w:hAnsi="宋体" w:eastAsia="宋体" w:cs="宋体"/>
                <w:sz w:val="24"/>
                <w:szCs w:val="24"/>
              </w:rPr>
            </w:pPr>
            <w:r>
              <w:rPr>
                <w:rFonts w:hint="eastAsia" w:ascii="宋体" w:hAnsi="宋体" w:eastAsia="宋体" w:cs="宋体"/>
                <w:sz w:val="24"/>
                <w:szCs w:val="24"/>
              </w:rPr>
              <w:t>（12）手机端智慧平台可观看健身视频指导，不仅可以学习训练动作，还可以看到发力肌肉，达到科学智慧健身目的。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4</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双功能深蹲训练器（组合）</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（1）产品规格：不小于1500×700×1</w:t>
            </w:r>
            <w:r>
              <w:rPr>
                <w:rFonts w:hint="eastAsia" w:ascii="宋体" w:hAnsi="宋体" w:cs="宋体"/>
                <w:sz w:val="24"/>
                <w:szCs w:val="24"/>
              </w:rPr>
              <w:t>6</w:t>
            </w:r>
            <w:r>
              <w:rPr>
                <w:rFonts w:hint="eastAsia" w:ascii="宋体" w:hAnsi="宋体" w:eastAsia="宋体" w:cs="宋体"/>
                <w:sz w:val="24"/>
                <w:szCs w:val="24"/>
              </w:rPr>
              <w:t>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（3）主要承载横梁尺寸：不小于PT</w:t>
            </w:r>
            <w:r>
              <w:rPr>
                <w:rFonts w:hint="eastAsia" w:ascii="宋体" w:hAnsi="宋体" w:cs="宋体"/>
                <w:sz w:val="24"/>
                <w:szCs w:val="24"/>
              </w:rPr>
              <w:t>4</w:t>
            </w:r>
            <w:r>
              <w:rPr>
                <w:rFonts w:hint="eastAsia" w:ascii="宋体" w:hAnsi="宋体" w:eastAsia="宋体" w:cs="宋体"/>
                <w:sz w:val="24"/>
                <w:szCs w:val="24"/>
              </w:rPr>
              <w:t>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（9）主要锻炼部位：臀肌群、腿后肌、股四头肌、小腿群肌。</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（11）使用微信小程序连接手机端智慧平台后，可显示、存储、分析运动数据，使用者可以了解自己运动状态，可通过手机端系统实现一键报修功能，可查看实时排名，操作简单实用。</w:t>
            </w:r>
          </w:p>
          <w:p>
            <w:pPr>
              <w:rPr>
                <w:rFonts w:hint="eastAsia" w:ascii="宋体" w:hAnsi="宋体" w:eastAsia="宋体" w:cs="宋体"/>
                <w:sz w:val="24"/>
                <w:szCs w:val="24"/>
              </w:rPr>
            </w:pPr>
            <w:r>
              <w:rPr>
                <w:rFonts w:hint="eastAsia" w:ascii="宋体" w:hAnsi="宋体" w:eastAsia="宋体" w:cs="宋体"/>
                <w:sz w:val="24"/>
                <w:szCs w:val="24"/>
              </w:rPr>
              <w:t>（12）手机端智慧平台可观看健身视频指导，不仅可以学习训练动作，还可以看到发力肌肉，达到科学智慧健身目的。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rPr>
                <w:rFonts w:hint="eastAsia" w:ascii="宋体" w:hAnsi="宋体" w:eastAsia="宋体" w:cs="宋体"/>
                <w:kern w:val="2"/>
                <w:sz w:val="24"/>
                <w:szCs w:val="24"/>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5</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双功能背腹肌训练器（组合）</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（1）产品规格：不小于900×1100×1400mm。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（3）主要承载横梁尺寸：不小于PT</w:t>
            </w:r>
            <w:r>
              <w:rPr>
                <w:rFonts w:hint="eastAsia" w:ascii="宋体" w:hAnsi="宋体" w:cs="宋体"/>
                <w:sz w:val="24"/>
                <w:szCs w:val="24"/>
              </w:rPr>
              <w:t>4</w:t>
            </w:r>
            <w:r>
              <w:rPr>
                <w:rFonts w:hint="eastAsia" w:ascii="宋体" w:hAnsi="宋体" w:eastAsia="宋体" w:cs="宋体"/>
                <w:sz w:val="24"/>
                <w:szCs w:val="24"/>
              </w:rPr>
              <w:t>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（9）主要锻炼部位：腹直肌、背肌、臀肌。</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（11）使用微信小程序连接手机端智慧平台后，可显示、存储、分析运动数据，使用者可以了解自己运动状态，可通过手机端系统实现一键报修功能，可查看实时排名，操作简单实用。</w:t>
            </w:r>
          </w:p>
          <w:p>
            <w:pPr>
              <w:rPr>
                <w:rFonts w:hint="eastAsia" w:ascii="宋体" w:hAnsi="宋体" w:eastAsia="宋体" w:cs="宋体"/>
                <w:sz w:val="24"/>
                <w:szCs w:val="24"/>
              </w:rPr>
            </w:pPr>
            <w:r>
              <w:rPr>
                <w:rFonts w:hint="eastAsia" w:ascii="宋体" w:hAnsi="宋体" w:eastAsia="宋体" w:cs="宋体"/>
                <w:sz w:val="24"/>
                <w:szCs w:val="24"/>
              </w:rPr>
              <w:t>（12）手机端智慧平台可观看健身视频指导，不仅可以学习训练动作，还可以看到发力肌肉，达到科学智慧健身目的。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rPr>
                <w:rFonts w:hint="eastAsia" w:ascii="宋体" w:hAnsi="宋体" w:eastAsia="宋体" w:cs="宋体"/>
                <w:kern w:val="2"/>
                <w:sz w:val="24"/>
                <w:szCs w:val="24"/>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6</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双功能上肢训练器（组合）</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（1）产品规格：不小于</w:t>
            </w:r>
            <w:r>
              <w:rPr>
                <w:rFonts w:hint="eastAsia" w:ascii="宋体" w:hAnsi="宋体" w:cs="宋体"/>
                <w:sz w:val="24"/>
                <w:szCs w:val="24"/>
              </w:rPr>
              <w:t>9</w:t>
            </w:r>
            <w:r>
              <w:rPr>
                <w:rFonts w:hint="eastAsia" w:ascii="宋体" w:hAnsi="宋体" w:eastAsia="宋体" w:cs="宋体"/>
                <w:sz w:val="24"/>
                <w:szCs w:val="24"/>
              </w:rPr>
              <w:t>00×600×1</w:t>
            </w:r>
            <w:r>
              <w:rPr>
                <w:rFonts w:hint="eastAsia" w:ascii="宋体" w:hAnsi="宋体" w:cs="宋体"/>
                <w:sz w:val="24"/>
                <w:szCs w:val="24"/>
              </w:rPr>
              <w:t>2</w:t>
            </w:r>
            <w:r>
              <w:rPr>
                <w:rFonts w:hint="eastAsia" w:ascii="宋体" w:hAnsi="宋体" w:eastAsia="宋体" w:cs="宋体"/>
                <w:sz w:val="24"/>
                <w:szCs w:val="24"/>
              </w:rPr>
              <w:t>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（3）主要承载横梁尺寸：不小于PT</w:t>
            </w:r>
            <w:r>
              <w:rPr>
                <w:rFonts w:hint="eastAsia" w:ascii="宋体" w:hAnsi="宋体" w:cs="宋体"/>
                <w:sz w:val="24"/>
                <w:szCs w:val="24"/>
              </w:rPr>
              <w:t>4</w:t>
            </w:r>
            <w:r>
              <w:rPr>
                <w:rFonts w:hint="eastAsia" w:ascii="宋体" w:hAnsi="宋体" w:eastAsia="宋体" w:cs="宋体"/>
                <w:sz w:val="24"/>
                <w:szCs w:val="24"/>
              </w:rPr>
              <w:t>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（9）主要锻炼部位：三角肌、肱二头肌、肱肌、伸指肌群及屈指肌群，锻炼人体心肺功能等。</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（11）使用微信小程序连接手机端智慧平台后，可显示、存储、分析运动数据，使用者可以了解自己运动状态，可通过手机端系统实现一键报修功能，可查看实时排名，操作简单实用。</w:t>
            </w:r>
          </w:p>
          <w:p>
            <w:pPr>
              <w:rPr>
                <w:rFonts w:hint="eastAsia" w:ascii="宋体" w:hAnsi="宋体" w:eastAsia="宋体" w:cs="宋体"/>
                <w:sz w:val="24"/>
                <w:szCs w:val="24"/>
              </w:rPr>
            </w:pPr>
            <w:r>
              <w:rPr>
                <w:rFonts w:hint="eastAsia" w:ascii="宋体" w:hAnsi="宋体" w:eastAsia="宋体" w:cs="宋体"/>
                <w:sz w:val="24"/>
                <w:szCs w:val="24"/>
              </w:rPr>
              <w:t>（12）手机端智慧平台可观看健身视频指导，不仅可以学习训练动作，还可以看到发力肌肉，达到科学智慧健身目的。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rPr>
                <w:rFonts w:hint="eastAsia" w:ascii="宋体" w:hAnsi="宋体" w:eastAsia="宋体" w:cs="宋体"/>
                <w:kern w:val="2"/>
                <w:sz w:val="24"/>
                <w:szCs w:val="24"/>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7</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立式健身车</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（1）产品规格：不小于900×500×1300mm。</w:t>
            </w:r>
          </w:p>
          <w:p>
            <w:pPr>
              <w:rPr>
                <w:rFonts w:hint="eastAsia" w:ascii="宋体" w:hAnsi="宋体" w:eastAsia="宋体" w:cs="宋体"/>
                <w:sz w:val="24"/>
                <w:szCs w:val="24"/>
              </w:rPr>
            </w:pPr>
            <w:r>
              <w:rPr>
                <w:rFonts w:hint="eastAsia" w:ascii="宋体" w:hAnsi="宋体" w:eastAsia="宋体" w:cs="宋体"/>
                <w:sz w:val="24"/>
                <w:szCs w:val="24"/>
              </w:rPr>
              <w:t>（2）主要承载立柱尺寸：不小于PT50×1</w:t>
            </w:r>
            <w:r>
              <w:rPr>
                <w:rFonts w:hint="eastAsia" w:ascii="宋体" w:hAnsi="宋体" w:cs="宋体"/>
                <w:sz w:val="24"/>
                <w:szCs w:val="24"/>
              </w:rPr>
              <w:t>2</w:t>
            </w:r>
            <w:r>
              <w:rPr>
                <w:rFonts w:hint="eastAsia" w:ascii="宋体" w:hAnsi="宋体" w:eastAsia="宋体" w:cs="宋体"/>
                <w:sz w:val="24"/>
                <w:szCs w:val="24"/>
              </w:rPr>
              <w:t>0×t2.0mm。</w:t>
            </w:r>
          </w:p>
          <w:p>
            <w:pPr>
              <w:rPr>
                <w:rFonts w:hint="eastAsia" w:ascii="宋体" w:hAnsi="宋体" w:eastAsia="宋体" w:cs="宋体"/>
                <w:sz w:val="24"/>
                <w:szCs w:val="24"/>
              </w:rPr>
            </w:pPr>
            <w:r>
              <w:rPr>
                <w:rFonts w:hint="eastAsia" w:ascii="宋体" w:hAnsi="宋体" w:eastAsia="宋体" w:cs="宋体"/>
                <w:sz w:val="24"/>
                <w:szCs w:val="24"/>
              </w:rPr>
              <w:t>（3）主要承载横梁尺寸：不小于40×100×t2.0mm。</w:t>
            </w:r>
          </w:p>
          <w:p>
            <w:pPr>
              <w:rPr>
                <w:rFonts w:hint="eastAsia" w:ascii="宋体" w:hAnsi="宋体" w:eastAsia="宋体" w:cs="宋体"/>
                <w:sz w:val="24"/>
                <w:szCs w:val="24"/>
              </w:rPr>
            </w:pPr>
            <w:r>
              <w:rPr>
                <w:rFonts w:hint="eastAsia" w:ascii="宋体" w:hAnsi="宋体" w:eastAsia="宋体" w:cs="宋体"/>
                <w:sz w:val="24"/>
                <w:szCs w:val="24"/>
              </w:rPr>
              <w:t>（4）阻力方式：应为自发电磁控阻力。</w:t>
            </w:r>
          </w:p>
          <w:p>
            <w:pPr>
              <w:rPr>
                <w:rFonts w:hint="eastAsia" w:ascii="宋体" w:hAnsi="宋体" w:eastAsia="宋体" w:cs="宋体"/>
                <w:sz w:val="24"/>
                <w:szCs w:val="24"/>
              </w:rPr>
            </w:pPr>
            <w:r>
              <w:rPr>
                <w:rFonts w:hint="eastAsia" w:ascii="宋体" w:hAnsi="宋体" w:eastAsia="宋体" w:cs="宋体"/>
                <w:sz w:val="24"/>
                <w:szCs w:val="24"/>
              </w:rPr>
              <w:t>（5）阻力等级：</w:t>
            </w:r>
            <w:r>
              <w:rPr>
                <w:rFonts w:hint="eastAsia" w:ascii="宋体" w:hAnsi="宋体" w:cs="宋体"/>
                <w:sz w:val="24"/>
                <w:szCs w:val="24"/>
              </w:rPr>
              <w:t>不低于</w:t>
            </w:r>
            <w:r>
              <w:rPr>
                <w:rFonts w:hint="eastAsia" w:ascii="宋体" w:hAnsi="宋体" w:eastAsia="宋体" w:cs="宋体"/>
                <w:sz w:val="24"/>
                <w:szCs w:val="24"/>
              </w:rPr>
              <w:t>49级。</w:t>
            </w:r>
          </w:p>
          <w:p>
            <w:pPr>
              <w:rPr>
                <w:rFonts w:hint="eastAsia" w:ascii="宋体" w:hAnsi="宋体" w:eastAsia="宋体" w:cs="宋体"/>
                <w:sz w:val="24"/>
                <w:szCs w:val="24"/>
              </w:rPr>
            </w:pPr>
            <w:r>
              <w:rPr>
                <w:rFonts w:hint="eastAsia" w:ascii="宋体" w:hAnsi="宋体" w:eastAsia="宋体" w:cs="宋体"/>
                <w:sz w:val="24"/>
                <w:szCs w:val="24"/>
              </w:rPr>
              <w:t>（6）阻力调节：按键调节阻力大小，电子表盘触摸按“+、-”键及手柄按“+、-”键调节阻力。</w:t>
            </w:r>
          </w:p>
          <w:p>
            <w:pPr>
              <w:rPr>
                <w:rFonts w:hint="eastAsia" w:ascii="宋体" w:hAnsi="宋体" w:eastAsia="宋体" w:cs="宋体"/>
                <w:sz w:val="24"/>
                <w:szCs w:val="24"/>
              </w:rPr>
            </w:pPr>
            <w:r>
              <w:rPr>
                <w:rFonts w:hint="eastAsia" w:ascii="宋体" w:hAnsi="宋体" w:eastAsia="宋体" w:cs="宋体"/>
                <w:sz w:val="24"/>
                <w:szCs w:val="24"/>
              </w:rPr>
              <w:t>（7）需具有人脸识别功能，自动识别用户后，为已建档用户自动保存运动数据，无需再次扫码。</w:t>
            </w:r>
          </w:p>
          <w:p>
            <w:pPr>
              <w:rPr>
                <w:rFonts w:hint="eastAsia" w:ascii="宋体" w:hAnsi="宋体" w:eastAsia="宋体" w:cs="宋体"/>
                <w:sz w:val="24"/>
                <w:szCs w:val="24"/>
              </w:rPr>
            </w:pPr>
            <w:r>
              <w:rPr>
                <w:rFonts w:hint="eastAsia" w:ascii="宋体" w:hAnsi="宋体" w:eastAsia="宋体" w:cs="宋体"/>
                <w:sz w:val="24"/>
                <w:szCs w:val="24"/>
              </w:rPr>
              <w:t>（8）显示屏幕：LCD显示、触摸按键。显示阻力、功率、心率、次数、运动时间和能量消耗。</w:t>
            </w:r>
          </w:p>
          <w:p>
            <w:pPr>
              <w:rPr>
                <w:rFonts w:hint="eastAsia" w:ascii="宋体" w:hAnsi="宋体" w:eastAsia="宋体" w:cs="宋体"/>
                <w:sz w:val="24"/>
                <w:szCs w:val="24"/>
              </w:rPr>
            </w:pPr>
            <w:r>
              <w:rPr>
                <w:rFonts w:hint="eastAsia" w:ascii="宋体" w:hAnsi="宋体" w:eastAsia="宋体" w:cs="宋体"/>
                <w:sz w:val="24"/>
                <w:szCs w:val="24"/>
              </w:rPr>
              <w:t>（9）主要锻炼部位心肺功能，比目鱼肌、腓肠肌、胫骨前肌、股外肌、股内肌、股直肌、臀肌、腘绳肌，锻炼人体心肺功能等。。</w:t>
            </w:r>
          </w:p>
          <w:p>
            <w:pPr>
              <w:rPr>
                <w:rFonts w:hint="eastAsia" w:ascii="宋体" w:hAnsi="宋体" w:eastAsia="宋体" w:cs="宋体"/>
                <w:sz w:val="24"/>
                <w:szCs w:val="24"/>
              </w:rPr>
            </w:pPr>
            <w:r>
              <w:rPr>
                <w:rFonts w:hint="eastAsia" w:ascii="宋体" w:hAnsi="宋体" w:eastAsia="宋体" w:cs="宋体"/>
                <w:sz w:val="24"/>
                <w:szCs w:val="24"/>
              </w:rPr>
              <w:t>（10）内置已设定的运动模式不少于最大力量测试、肌肉耐力测试、力量训练、耐力训练4种。</w:t>
            </w:r>
          </w:p>
          <w:p>
            <w:pPr>
              <w:rPr>
                <w:rFonts w:hint="eastAsia" w:ascii="宋体" w:hAnsi="宋体" w:eastAsia="宋体" w:cs="宋体"/>
                <w:sz w:val="24"/>
                <w:szCs w:val="24"/>
              </w:rPr>
            </w:pPr>
            <w:r>
              <w:rPr>
                <w:rFonts w:hint="eastAsia" w:ascii="宋体" w:hAnsi="宋体" w:eastAsia="宋体" w:cs="宋体"/>
                <w:sz w:val="24"/>
                <w:szCs w:val="24"/>
              </w:rPr>
              <w:t>（11）使用微信小程序连接手机端智慧平台后，可显示、存储、分析运动数据，使用者可以了解自己运动状态，可通过手机端系统实现一键报修功能，可查看实时排名，操作简单实用。</w:t>
            </w:r>
          </w:p>
          <w:p>
            <w:pPr>
              <w:rPr>
                <w:rFonts w:hint="eastAsia" w:ascii="宋体" w:hAnsi="宋体" w:eastAsia="宋体" w:cs="宋体"/>
                <w:sz w:val="24"/>
                <w:szCs w:val="24"/>
              </w:rPr>
            </w:pPr>
            <w:r>
              <w:rPr>
                <w:rFonts w:hint="eastAsia" w:ascii="宋体" w:hAnsi="宋体" w:eastAsia="宋体" w:cs="宋体"/>
                <w:sz w:val="24"/>
                <w:szCs w:val="24"/>
              </w:rPr>
              <w:t>（12）手机端智慧平台可观看健身视频指导，不仅可以学习训练动作，还可以看到发力肌肉，达到科学智慧健身目的。</w:t>
            </w:r>
          </w:p>
          <w:p>
            <w:pPr>
              <w:rPr>
                <w:rFonts w:hint="eastAsia" w:ascii="宋体" w:hAnsi="宋体" w:eastAsia="宋体" w:cs="宋体"/>
                <w:sz w:val="24"/>
                <w:szCs w:val="24"/>
              </w:rPr>
            </w:pPr>
            <w:r>
              <w:rPr>
                <w:rFonts w:hint="eastAsia" w:ascii="宋体" w:hAnsi="宋体" w:eastAsia="宋体" w:cs="宋体"/>
                <w:sz w:val="24"/>
                <w:szCs w:val="24"/>
              </w:rPr>
              <w:t>（13）管理方在电脑端智慧平台，可查看器材使用频率、器材状态、使用者运动时间、次数、消耗卡路里等大数据，可分析不同人群、不同安装区域的使用者、器材大数据，并提供分级管理。</w:t>
            </w:r>
          </w:p>
          <w:p>
            <w:pPr>
              <w:rPr>
                <w:rFonts w:hint="eastAsia" w:ascii="宋体" w:hAnsi="宋体" w:eastAsia="宋体" w:cs="宋体"/>
                <w:kern w:val="2"/>
                <w:sz w:val="24"/>
                <w:szCs w:val="24"/>
              </w:rPr>
            </w:pPr>
            <w:r>
              <w:rPr>
                <w:rFonts w:hint="eastAsia" w:ascii="宋体" w:hAnsi="宋体" w:eastAsia="宋体" w:cs="宋体"/>
                <w:sz w:val="24"/>
                <w:szCs w:val="24"/>
              </w:rPr>
              <w:t>（14）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8</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太阳能休闲椅遮阳棚</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（1）主要承载立柱采用不小于φ8</w:t>
            </w:r>
            <w:r>
              <w:rPr>
                <w:rFonts w:hint="eastAsia" w:ascii="宋体" w:hAnsi="宋体" w:cs="宋体"/>
                <w:sz w:val="24"/>
                <w:szCs w:val="24"/>
              </w:rPr>
              <w:t>5</w:t>
            </w:r>
            <w:r>
              <w:rPr>
                <w:rFonts w:hint="eastAsia" w:ascii="宋体" w:hAnsi="宋体" w:eastAsia="宋体" w:cs="宋体"/>
                <w:sz w:val="24"/>
                <w:szCs w:val="24"/>
              </w:rPr>
              <w:t>mm×3.0mm的钢管，主要承载横梁采用不小于φ32mm×2.5mm钢管；</w:t>
            </w:r>
          </w:p>
          <w:p>
            <w:pPr>
              <w:rPr>
                <w:rFonts w:hint="eastAsia" w:ascii="宋体" w:hAnsi="宋体" w:eastAsia="宋体" w:cs="宋体"/>
                <w:sz w:val="24"/>
                <w:szCs w:val="24"/>
              </w:rPr>
            </w:pPr>
            <w:r>
              <w:rPr>
                <w:rFonts w:hint="eastAsia" w:ascii="宋体" w:hAnsi="宋体" w:eastAsia="宋体" w:cs="宋体"/>
                <w:sz w:val="24"/>
                <w:szCs w:val="24"/>
              </w:rPr>
              <w:t>（2）装有遮阳装置，可以有效的遮挡阳光直射；下方配有休闲座椅；</w:t>
            </w:r>
          </w:p>
          <w:p>
            <w:pPr>
              <w:rPr>
                <w:rFonts w:hint="eastAsia" w:ascii="宋体" w:hAnsi="宋体" w:eastAsia="宋体" w:cs="宋体"/>
                <w:sz w:val="24"/>
                <w:szCs w:val="24"/>
              </w:rPr>
            </w:pPr>
            <w:r>
              <w:rPr>
                <w:rFonts w:hint="eastAsia" w:ascii="宋体" w:hAnsi="宋体" w:eastAsia="宋体" w:cs="宋体"/>
                <w:sz w:val="24"/>
                <w:szCs w:val="24"/>
              </w:rPr>
              <w:t>（3）装有光电组件，内部装有LED防爆节能照明系统，光电组件发电量能够满足照明系统使用，节能环保；照明系统使用控制器进行自动控制，夜晚定时照明。</w:t>
            </w:r>
          </w:p>
          <w:p>
            <w:pPr>
              <w:rPr>
                <w:rFonts w:hint="eastAsia" w:ascii="宋体" w:hAnsi="宋体" w:eastAsia="宋体" w:cs="宋体"/>
                <w:kern w:val="2"/>
                <w:sz w:val="24"/>
                <w:szCs w:val="24"/>
              </w:rPr>
            </w:pPr>
            <w:r>
              <w:rPr>
                <w:rFonts w:hint="eastAsia" w:ascii="宋体" w:hAnsi="宋体" w:eastAsia="宋体" w:cs="宋体"/>
                <w:sz w:val="24"/>
                <w:szCs w:val="24"/>
              </w:rPr>
              <w:t>（4）</w:t>
            </w:r>
            <w:r>
              <w:rPr>
                <w:rFonts w:hint="eastAsia" w:ascii="宋体" w:hAnsi="宋体" w:eastAsia="宋体" w:cs="宋体"/>
                <w:b/>
                <w:bCs/>
                <w:sz w:val="24"/>
                <w:szCs w:val="24"/>
              </w:rPr>
              <w:t>器材符合GB19272-2011《室外健身器材的安全通用要求》，提供具有CMA或CNAS资质的检测机构出具的检验结果为合格的报告。</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3</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9</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双位太空漫步机</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numPr>
                <w:ilvl w:val="0"/>
                <w:numId w:val="2"/>
              </w:numPr>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w:t>
            </w:r>
          </w:p>
          <w:p>
            <w:pPr>
              <w:numPr>
                <w:ilvl w:val="0"/>
                <w:numId w:val="2"/>
              </w:numPr>
              <w:rPr>
                <w:rFonts w:hint="eastAsia" w:ascii="宋体" w:hAnsi="宋体" w:eastAsia="宋体" w:cs="宋体"/>
                <w:kern w:val="2"/>
                <w:sz w:val="24"/>
                <w:szCs w:val="24"/>
              </w:rPr>
            </w:pPr>
            <w:r>
              <w:rPr>
                <w:rFonts w:hint="eastAsia" w:ascii="宋体" w:hAnsi="宋体" w:eastAsia="宋体" w:cs="宋体"/>
                <w:sz w:val="24"/>
                <w:szCs w:val="24"/>
              </w:rPr>
              <w:t>摆杆应有限位装置，且单侧摆动幅度不大于65°，摆杆选用不小于Φ60mm×3mm或等强度规格的管材；</w:t>
            </w:r>
          </w:p>
          <w:p>
            <w:pPr>
              <w:numPr>
                <w:ilvl w:val="0"/>
                <w:numId w:val="2"/>
              </w:numPr>
              <w:rPr>
                <w:rFonts w:hint="eastAsia" w:ascii="宋体" w:hAnsi="宋体" w:eastAsia="宋体" w:cs="宋体"/>
                <w:kern w:val="2"/>
                <w:sz w:val="24"/>
                <w:szCs w:val="24"/>
              </w:rPr>
            </w:pPr>
            <w:r>
              <w:rPr>
                <w:rFonts w:hint="eastAsia" w:ascii="宋体" w:hAnsi="宋体" w:eastAsia="宋体" w:cs="宋体"/>
                <w:sz w:val="24"/>
                <w:szCs w:val="24"/>
              </w:rPr>
              <w:t>摆杆与主立柱内侧的最小距离处应大于60mm；踏板的主运动方向和易滑脱方向应设置高度不小于30mm、长度大于踏板周长2/3的防滑脱的凸台或护板；</w:t>
            </w:r>
          </w:p>
          <w:p>
            <w:pPr>
              <w:numPr>
                <w:ilvl w:val="0"/>
                <w:numId w:val="2"/>
              </w:numPr>
              <w:rPr>
                <w:rFonts w:hint="eastAsia" w:ascii="宋体" w:hAnsi="宋体" w:eastAsia="宋体" w:cs="宋体"/>
                <w:kern w:val="2"/>
                <w:sz w:val="24"/>
                <w:szCs w:val="24"/>
              </w:rPr>
            </w:pPr>
            <w:r>
              <w:rPr>
                <w:rFonts w:hint="eastAsia" w:ascii="宋体" w:hAnsi="宋体" w:eastAsia="宋体" w:cs="宋体"/>
                <w:sz w:val="24"/>
                <w:szCs w:val="24"/>
              </w:rPr>
              <w:t>凸台顶部棱边应全部以不小于2mm的R圆弧过渡；脚踏部位应有防滑措施，摩擦系数应不小于0.5；摆动部件下缘距地面或底面最小高度应不小于80mm；相邻运动的两踏板的间距应不小于100mm；踏板前后两侧应采取防止碰撞第三者的缓冲措施；</w:t>
            </w:r>
          </w:p>
          <w:p>
            <w:pPr>
              <w:numPr>
                <w:ilvl w:val="0"/>
                <w:numId w:val="2"/>
              </w:numPr>
              <w:rPr>
                <w:rFonts w:hint="eastAsia" w:ascii="宋体" w:hAnsi="宋体" w:eastAsia="宋体" w:cs="宋体"/>
                <w:kern w:val="2"/>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numPr>
                <w:ilvl w:val="0"/>
                <w:numId w:val="2"/>
              </w:numPr>
              <w:rPr>
                <w:rFonts w:hint="eastAsia" w:ascii="宋体" w:hAnsi="宋体" w:eastAsia="宋体" w:cs="宋体"/>
                <w:kern w:val="2"/>
                <w:sz w:val="24"/>
                <w:szCs w:val="24"/>
              </w:rPr>
            </w:pPr>
            <w:r>
              <w:rPr>
                <w:rFonts w:hint="eastAsia" w:ascii="宋体" w:hAnsi="宋体" w:eastAsia="宋体" w:cs="宋体"/>
                <w:sz w:val="24"/>
                <w:szCs w:val="24"/>
              </w:rPr>
              <w:t>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8"/>
              <w:ind w:firstLine="0" w:firstLineChars="0"/>
              <w:rPr>
                <w:rFonts w:hint="eastAsia" w:ascii="宋体" w:hAnsi="宋体" w:cs="宋体"/>
                <w:sz w:val="24"/>
                <w:szCs w:val="24"/>
              </w:rPr>
            </w:pPr>
            <w:r>
              <w:rPr>
                <w:rFonts w:hint="eastAsia" w:ascii="宋体" w:hAnsi="宋体" w:cs="宋体"/>
                <w:sz w:val="24"/>
                <w:szCs w:val="24"/>
              </w:rPr>
              <w:t>（8）</w:t>
            </w:r>
            <w:r>
              <w:rPr>
                <w:rFonts w:hint="eastAsia" w:ascii="宋体" w:hAnsi="宋体" w:cs="宋体"/>
                <w:b/>
                <w:bCs/>
                <w:sz w:val="24"/>
                <w:szCs w:val="24"/>
              </w:rPr>
              <w:t>投标单位需要提供国家认证认可监督委员会批准的第三方机构出具的认证证书及有效期内的确认函。</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3</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10</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双位椭圆机</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numPr>
                <w:ilvl w:val="0"/>
                <w:numId w:val="3"/>
              </w:numPr>
              <w:jc w:val="left"/>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widowControl/>
              <w:numPr>
                <w:ilvl w:val="0"/>
                <w:numId w:val="3"/>
              </w:numPr>
              <w:jc w:val="left"/>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0mm×100mm，主要承载立柱钢管厚度应不小于3mm，钢、塑木、铝合金结构，应有限位装置；</w:t>
            </w:r>
          </w:p>
          <w:p>
            <w:pPr>
              <w:widowControl/>
              <w:numPr>
                <w:ilvl w:val="0"/>
                <w:numId w:val="3"/>
              </w:numPr>
              <w:jc w:val="left"/>
              <w:rPr>
                <w:rFonts w:hint="eastAsia" w:ascii="宋体" w:hAnsi="宋体" w:eastAsia="宋体" w:cs="宋体"/>
                <w:sz w:val="24"/>
                <w:szCs w:val="24"/>
              </w:rPr>
            </w:pPr>
            <w:r>
              <w:rPr>
                <w:rFonts w:hint="eastAsia" w:ascii="宋体" w:hAnsi="宋体" w:eastAsia="宋体" w:cs="宋体"/>
                <w:sz w:val="24"/>
                <w:szCs w:val="24"/>
              </w:rPr>
              <w:t>踏板的主运动方向和易滑脱方向应设置高度不小于30mm、长度大于踏板周长2/3的防滑脱的凸台或护板；凸台顶部棱边应全部以不小于2mm的R圆弧过渡；</w:t>
            </w:r>
          </w:p>
          <w:p>
            <w:pPr>
              <w:widowControl/>
              <w:numPr>
                <w:ilvl w:val="0"/>
                <w:numId w:val="3"/>
              </w:numPr>
              <w:jc w:val="left"/>
              <w:rPr>
                <w:rFonts w:hint="eastAsia" w:ascii="宋体" w:hAnsi="宋体" w:eastAsia="宋体" w:cs="宋体"/>
                <w:sz w:val="24"/>
                <w:szCs w:val="24"/>
              </w:rPr>
            </w:pPr>
            <w:r>
              <w:rPr>
                <w:rFonts w:hint="eastAsia" w:ascii="宋体" w:hAnsi="宋体" w:eastAsia="宋体" w:cs="宋体"/>
                <w:sz w:val="24"/>
                <w:szCs w:val="24"/>
              </w:rPr>
              <w:t>脚踏部位应有防滑措施，站立使用的单脚防滑面应不小于（3×104）mm²，摩擦系数应不小于0.5；摆杆与立柱最小距离应大于60mm；曲柄与脚踏管最小距离应大于30mm，脚踏管下底面与地面或机架垂直距离应不小于80mm。</w:t>
            </w:r>
          </w:p>
          <w:p>
            <w:pPr>
              <w:widowControl/>
              <w:numPr>
                <w:ilvl w:val="0"/>
                <w:numId w:val="3"/>
              </w:numPr>
              <w:jc w:val="left"/>
              <w:rPr>
                <w:rFonts w:hint="eastAsia" w:ascii="宋体" w:hAnsi="宋体" w:eastAsia="宋体" w:cs="宋体"/>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widowControl/>
              <w:numPr>
                <w:ilvl w:val="0"/>
                <w:numId w:val="3"/>
              </w:numPr>
              <w:jc w:val="left"/>
              <w:rPr>
                <w:rFonts w:hint="eastAsia" w:ascii="宋体" w:hAnsi="宋体" w:eastAsia="宋体" w:cs="宋体"/>
                <w:sz w:val="24"/>
                <w:szCs w:val="24"/>
              </w:rPr>
            </w:pPr>
            <w:r>
              <w:rPr>
                <w:rFonts w:hint="eastAsia" w:ascii="宋体" w:hAnsi="宋体" w:eastAsia="宋体" w:cs="宋体"/>
                <w:sz w:val="24"/>
                <w:szCs w:val="24"/>
              </w:rPr>
              <w:t>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rPr>
                <w:rFonts w:hint="eastAsia" w:ascii="宋体" w:hAnsi="宋体" w:eastAsia="宋体" w:cs="宋体"/>
                <w:kern w:val="2"/>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11</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双位揉推器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numPr>
                <w:ilvl w:val="0"/>
                <w:numId w:val="4"/>
              </w:numPr>
              <w:jc w:val="left"/>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widowControl/>
              <w:numPr>
                <w:ilvl w:val="0"/>
                <w:numId w:val="4"/>
              </w:numPr>
              <w:jc w:val="left"/>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0mm×100mm，主要承载立柱钢管厚度应不小于3mm，钢、塑木、铝合金结构；两转盘开口间距应不小于230mm，无卡夹危险；应有防止超速转动的阻尼装置；</w:t>
            </w:r>
          </w:p>
          <w:p>
            <w:pPr>
              <w:widowControl/>
              <w:numPr>
                <w:ilvl w:val="0"/>
                <w:numId w:val="4"/>
              </w:numPr>
              <w:jc w:val="left"/>
              <w:rPr>
                <w:rFonts w:hint="eastAsia" w:ascii="宋体" w:hAnsi="宋体" w:eastAsia="宋体" w:cs="宋体"/>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widowControl/>
              <w:jc w:val="left"/>
              <w:rPr>
                <w:rFonts w:hint="eastAsia" w:ascii="宋体" w:hAnsi="宋体" w:eastAsia="宋体" w:cs="宋体"/>
                <w:sz w:val="24"/>
                <w:szCs w:val="24"/>
              </w:rPr>
            </w:pPr>
            <w:r>
              <w:rPr>
                <w:rFonts w:hint="eastAsia" w:ascii="宋体" w:hAnsi="宋体" w:eastAsia="宋体" w:cs="宋体"/>
                <w:sz w:val="24"/>
                <w:szCs w:val="24"/>
              </w:rPr>
              <w:t>（4）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rPr>
                <w:rFonts w:hint="eastAsia" w:ascii="宋体" w:hAnsi="宋体" w:eastAsia="宋体" w:cs="宋体"/>
                <w:kern w:val="2"/>
                <w:sz w:val="24"/>
                <w:szCs w:val="24"/>
              </w:rPr>
            </w:pPr>
            <w:r>
              <w:rPr>
                <w:rFonts w:hint="eastAsia" w:ascii="宋体" w:hAnsi="宋体" w:eastAsia="宋体" w:cs="宋体"/>
                <w:sz w:val="24"/>
                <w:szCs w:val="24"/>
              </w:rPr>
              <w:t>（5）</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12</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双位扭腰器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numPr>
                <w:ilvl w:val="0"/>
                <w:numId w:val="5"/>
              </w:numPr>
              <w:ind w:firstLine="0" w:firstLineChars="0"/>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pStyle w:val="16"/>
              <w:numPr>
                <w:ilvl w:val="0"/>
                <w:numId w:val="5"/>
              </w:numPr>
              <w:ind w:firstLine="0" w:firstLineChars="0"/>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0mm×100mm，主要承载立柱钢管厚度应不小于3mm，钢、塑木、铝合金结构，不允许存在衣服、头发钩挂或缠绕危险；</w:t>
            </w:r>
          </w:p>
          <w:p>
            <w:pPr>
              <w:pStyle w:val="16"/>
              <w:numPr>
                <w:ilvl w:val="0"/>
                <w:numId w:val="5"/>
              </w:numPr>
              <w:ind w:firstLine="0" w:firstLineChars="0"/>
              <w:rPr>
                <w:rFonts w:hint="eastAsia" w:ascii="宋体" w:hAnsi="宋体" w:eastAsia="宋体" w:cs="宋体"/>
                <w:sz w:val="24"/>
                <w:szCs w:val="24"/>
              </w:rPr>
            </w:pPr>
            <w:r>
              <w:rPr>
                <w:rFonts w:hint="eastAsia" w:ascii="宋体" w:hAnsi="宋体" w:eastAsia="宋体" w:cs="宋体"/>
                <w:sz w:val="24"/>
                <w:szCs w:val="24"/>
              </w:rPr>
              <w:t>使用者或第三者易接触的零部件的其他所有棱边应予以圆滑过渡或加以防护。轴承为深沟球轴承+角接触球轴承，转轴部位应设置有防止超速转动的阻尼装置；扭腰盘上表面边缘应以R不小于3mm的圆弧过渡；扭腰盘下部棱边应以R不小于2mm的圆弧过渡；脚踏部位应有防滑措施，不允许存在头、脚、颈的卡夹，不允许存在剪切点、挤压点、引入点；</w:t>
            </w:r>
          </w:p>
          <w:p>
            <w:pPr>
              <w:pStyle w:val="16"/>
              <w:numPr>
                <w:ilvl w:val="0"/>
                <w:numId w:val="5"/>
              </w:numPr>
              <w:ind w:firstLine="0" w:firstLineChars="0"/>
              <w:rPr>
                <w:rFonts w:hint="eastAsia" w:ascii="宋体" w:hAnsi="宋体" w:eastAsia="宋体" w:cs="宋体"/>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5）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13</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双位背部训练器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numPr>
                <w:ilvl w:val="0"/>
                <w:numId w:val="6"/>
              </w:numPr>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numPr>
                <w:ilvl w:val="0"/>
                <w:numId w:val="6"/>
              </w:numPr>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0mm×100mm，主要承载立柱钢管厚度应不小于3mm，钢、塑木、铝合金结构，应有限位装置；</w:t>
            </w:r>
          </w:p>
          <w:p>
            <w:pPr>
              <w:numPr>
                <w:ilvl w:val="0"/>
                <w:numId w:val="6"/>
              </w:numPr>
              <w:rPr>
                <w:rFonts w:hint="eastAsia" w:ascii="宋体" w:hAnsi="宋体" w:eastAsia="宋体" w:cs="宋体"/>
                <w:sz w:val="24"/>
                <w:szCs w:val="24"/>
              </w:rPr>
            </w:pPr>
            <w:r>
              <w:rPr>
                <w:rFonts w:hint="eastAsia" w:ascii="宋体" w:hAnsi="宋体" w:eastAsia="宋体" w:cs="宋体"/>
                <w:sz w:val="24"/>
                <w:szCs w:val="24"/>
              </w:rPr>
              <w:t>活动部件的下底面距地面的最小高度应</w:t>
            </w:r>
            <w:r>
              <w:rPr>
                <w:rFonts w:hint="eastAsia" w:ascii="宋体" w:hAnsi="宋体" w:cs="宋体"/>
                <w:sz w:val="24"/>
                <w:szCs w:val="24"/>
              </w:rPr>
              <w:t>不小于</w:t>
            </w:r>
            <w:r>
              <w:rPr>
                <w:rFonts w:hint="eastAsia" w:ascii="宋体" w:hAnsi="宋体" w:eastAsia="宋体" w:cs="宋体"/>
                <w:sz w:val="24"/>
                <w:szCs w:val="24"/>
              </w:rPr>
              <w:t>120mm；可能对使用者造成跌落、翻倒、碰撞或冲击伤害的，应设置防护装置；</w:t>
            </w:r>
          </w:p>
          <w:p>
            <w:pPr>
              <w:numPr>
                <w:ilvl w:val="0"/>
                <w:numId w:val="6"/>
              </w:numPr>
              <w:rPr>
                <w:rFonts w:hint="eastAsia" w:ascii="宋体" w:hAnsi="宋体" w:eastAsia="宋体" w:cs="宋体"/>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rPr>
                <w:rFonts w:hint="eastAsia" w:ascii="宋体" w:hAnsi="宋体" w:eastAsia="宋体" w:cs="宋体"/>
                <w:sz w:val="24"/>
                <w:szCs w:val="24"/>
              </w:rPr>
            </w:pPr>
            <w:r>
              <w:rPr>
                <w:rFonts w:hint="eastAsia" w:ascii="宋体" w:hAnsi="宋体" w:eastAsia="宋体" w:cs="宋体"/>
                <w:sz w:val="24"/>
                <w:szCs w:val="24"/>
              </w:rPr>
              <w:t>（5）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8"/>
              <w:ind w:firstLine="0" w:firstLineChars="0"/>
              <w:rPr>
                <w:rFonts w:hint="eastAsia" w:ascii="宋体" w:hAnsi="宋体" w:cs="宋体"/>
                <w:sz w:val="24"/>
                <w:szCs w:val="24"/>
              </w:rPr>
            </w:pPr>
            <w:r>
              <w:rPr>
                <w:rFonts w:hint="eastAsia" w:ascii="宋体" w:hAnsi="宋体" w:cs="宋体"/>
                <w:sz w:val="24"/>
                <w:szCs w:val="24"/>
              </w:rPr>
              <w:t>（6）</w:t>
            </w:r>
            <w:r>
              <w:rPr>
                <w:rFonts w:hint="eastAsia" w:ascii="宋体" w:hAnsi="宋体" w:cs="宋体"/>
                <w:b/>
                <w:bCs/>
                <w:sz w:val="24"/>
                <w:szCs w:val="24"/>
              </w:rPr>
              <w:t>投标单位需要提供国家认证认可监督委员会批准的第三方机构出具的认证证书及有效期内的确认函。</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14</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双位划船训练器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（1）器材主立柱上端带顶，顶的材料为铝板或复合材料或膜材。</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（2）主立柱截面尺寸不小于1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0mm×100mm，主要承载立柱钢管厚度应不小于3mm，钢、塑木、铝合金结构，应有限位装置；</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（3）活动部件的下底面距地面的最小高度不小于120mm；可能对使用者造成跌落、翻倒、碰撞或冲击伤害的，应设置防护装置；</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（4）使用太阳能或自发电充电模式，采用锂电池或胶体蓄电池，充电后应能满足24小时内器材正常使用；</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5）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15</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双位推举训练器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numPr>
                <w:ilvl w:val="0"/>
                <w:numId w:val="7"/>
              </w:numPr>
              <w:ind w:firstLine="0" w:firstLineChars="0"/>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pStyle w:val="16"/>
              <w:numPr>
                <w:ilvl w:val="0"/>
                <w:numId w:val="7"/>
              </w:numPr>
              <w:ind w:firstLine="0" w:firstLineChars="0"/>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0mm×100mm，主要承载立柱钢管厚度应不小于3mm，钢、塑木、铝合金结构，应有限位装置；把手端部直径应不小于50mm；</w:t>
            </w:r>
          </w:p>
          <w:p>
            <w:pPr>
              <w:pStyle w:val="16"/>
              <w:numPr>
                <w:ilvl w:val="0"/>
                <w:numId w:val="7"/>
              </w:numPr>
              <w:ind w:firstLine="0" w:firstLineChars="0"/>
              <w:rPr>
                <w:rFonts w:hint="eastAsia" w:ascii="宋体" w:hAnsi="宋体" w:eastAsia="宋体" w:cs="宋体"/>
                <w:sz w:val="24"/>
                <w:szCs w:val="24"/>
              </w:rPr>
            </w:pPr>
            <w:r>
              <w:rPr>
                <w:rFonts w:hint="eastAsia" w:ascii="宋体" w:hAnsi="宋体" w:eastAsia="宋体" w:cs="宋体"/>
                <w:sz w:val="24"/>
                <w:szCs w:val="24"/>
              </w:rPr>
              <w:t>活动部件的下底面距地面的最小高度不小于120mm；可能对使用者造成跌落、翻倒、碰撞或冲击伤害的，应设置防护装置；</w:t>
            </w:r>
          </w:p>
          <w:p>
            <w:pPr>
              <w:pStyle w:val="16"/>
              <w:numPr>
                <w:ilvl w:val="0"/>
                <w:numId w:val="7"/>
              </w:numPr>
              <w:ind w:firstLine="0" w:firstLineChars="0"/>
              <w:rPr>
                <w:rFonts w:hint="eastAsia" w:ascii="宋体" w:hAnsi="宋体" w:eastAsia="宋体" w:cs="宋体"/>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5）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16</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双位钟摆训练器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numPr>
                <w:ilvl w:val="0"/>
                <w:numId w:val="8"/>
              </w:numPr>
              <w:ind w:firstLine="0" w:firstLineChars="0"/>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pStyle w:val="16"/>
              <w:numPr>
                <w:ilvl w:val="0"/>
                <w:numId w:val="8"/>
              </w:numPr>
              <w:ind w:firstLine="0" w:firstLineChars="0"/>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w:t>
            </w:r>
          </w:p>
          <w:p>
            <w:pPr>
              <w:pStyle w:val="16"/>
              <w:numPr>
                <w:ilvl w:val="0"/>
                <w:numId w:val="8"/>
              </w:numPr>
              <w:ind w:firstLine="0" w:firstLineChars="0"/>
              <w:rPr>
                <w:rFonts w:hint="eastAsia" w:ascii="宋体" w:hAnsi="宋体" w:eastAsia="宋体" w:cs="宋体"/>
                <w:sz w:val="24"/>
                <w:szCs w:val="24"/>
              </w:rPr>
            </w:pPr>
            <w:r>
              <w:rPr>
                <w:rFonts w:hint="eastAsia" w:ascii="宋体" w:hAnsi="宋体" w:eastAsia="宋体" w:cs="宋体"/>
                <w:sz w:val="24"/>
                <w:szCs w:val="24"/>
              </w:rPr>
              <w:t>摆杆应有限位装置，且单侧摆动幅度不大于65°，摆杆不小于60mm×3mm或等强度规格的管材，其他管材实际壁厚不小于3mm；</w:t>
            </w:r>
          </w:p>
          <w:p>
            <w:pPr>
              <w:pStyle w:val="16"/>
              <w:numPr>
                <w:ilvl w:val="0"/>
                <w:numId w:val="8"/>
              </w:numPr>
              <w:ind w:firstLine="0" w:firstLineChars="0"/>
              <w:rPr>
                <w:rFonts w:hint="eastAsia" w:ascii="宋体" w:hAnsi="宋体" w:eastAsia="宋体" w:cs="宋体"/>
                <w:color w:val="000000"/>
                <w:sz w:val="24"/>
                <w:szCs w:val="24"/>
              </w:rPr>
            </w:pPr>
            <w:r>
              <w:rPr>
                <w:rFonts w:hint="eastAsia" w:ascii="宋体" w:hAnsi="宋体" w:eastAsia="宋体" w:cs="宋体"/>
                <w:sz w:val="24"/>
                <w:szCs w:val="24"/>
              </w:rPr>
              <w:t>摆杆与主立柱内侧的最小距离处应大于60mm；踏板的主运动方向和易滑脱方向应设置高度不小于30mm、长度大于踏板周长2/3的防滑脱的凸台或护板；</w:t>
            </w:r>
          </w:p>
          <w:p>
            <w:pPr>
              <w:pStyle w:val="16"/>
              <w:numPr>
                <w:ilvl w:val="0"/>
                <w:numId w:val="8"/>
              </w:numPr>
              <w:ind w:firstLine="0" w:firstLineChars="0"/>
              <w:rPr>
                <w:rFonts w:hint="eastAsia" w:ascii="宋体" w:hAnsi="宋体" w:eastAsia="宋体" w:cs="宋体"/>
                <w:color w:val="000000"/>
                <w:sz w:val="24"/>
                <w:szCs w:val="24"/>
              </w:rPr>
            </w:pPr>
            <w:r>
              <w:rPr>
                <w:rFonts w:hint="eastAsia" w:ascii="宋体" w:hAnsi="宋体" w:eastAsia="宋体" w:cs="宋体"/>
                <w:sz w:val="24"/>
                <w:szCs w:val="24"/>
              </w:rPr>
              <w:t>凸台顶部棱边应全部以不小于2mm的R圆弧过渡；脚踏部位应有防滑措施，站立使用的单脚防滑面应不小于（3×10</w:t>
            </w:r>
            <w:r>
              <w:rPr>
                <w:rFonts w:hint="eastAsia" w:ascii="宋体" w:hAnsi="宋体" w:cs="宋体"/>
                <w:sz w:val="24"/>
                <w:szCs w:val="24"/>
              </w:rPr>
              <w:t>000</w:t>
            </w:r>
            <w:r>
              <w:rPr>
                <w:rFonts w:hint="eastAsia" w:ascii="宋体" w:hAnsi="宋体" w:eastAsia="宋体" w:cs="宋体"/>
                <w:sz w:val="24"/>
                <w:szCs w:val="24"/>
              </w:rPr>
              <w:t>）mm²，摩擦系数应不小于0.5；摆动部件下缘距地面或底面最小高度应不小于80mm；踏板左右两侧应采取防止碰撞第三者的缓冲措施；</w:t>
            </w:r>
          </w:p>
          <w:p>
            <w:pPr>
              <w:pStyle w:val="16"/>
              <w:numPr>
                <w:ilvl w:val="0"/>
                <w:numId w:val="8"/>
              </w:numPr>
              <w:ind w:firstLine="0" w:firstLineChars="0"/>
              <w:rPr>
                <w:rFonts w:hint="eastAsia" w:ascii="宋体" w:hAnsi="宋体" w:eastAsia="宋体" w:cs="宋体"/>
                <w:color w:val="000000"/>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pStyle w:val="16"/>
              <w:numPr>
                <w:ilvl w:val="0"/>
                <w:numId w:val="8"/>
              </w:numPr>
              <w:ind w:firstLine="0" w:firstLineChars="0"/>
              <w:rPr>
                <w:rFonts w:hint="eastAsia" w:ascii="宋体" w:hAnsi="宋体" w:eastAsia="宋体" w:cs="宋体"/>
                <w:color w:val="000000"/>
                <w:sz w:val="24"/>
                <w:szCs w:val="24"/>
              </w:rPr>
            </w:pPr>
            <w:r>
              <w:rPr>
                <w:rFonts w:hint="eastAsia" w:ascii="宋体" w:hAnsi="宋体" w:eastAsia="宋体" w:cs="宋体"/>
                <w:sz w:val="24"/>
                <w:szCs w:val="24"/>
              </w:rPr>
              <w:t>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（8）</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17</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双位蹬力器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numPr>
                <w:ilvl w:val="0"/>
                <w:numId w:val="9"/>
              </w:numPr>
              <w:ind w:firstLine="0" w:firstLineChars="0"/>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pStyle w:val="16"/>
              <w:numPr>
                <w:ilvl w:val="0"/>
                <w:numId w:val="9"/>
              </w:numPr>
              <w:ind w:firstLine="0" w:firstLineChars="0"/>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w:t>
            </w:r>
          </w:p>
          <w:p>
            <w:pPr>
              <w:pStyle w:val="16"/>
              <w:numPr>
                <w:ilvl w:val="0"/>
                <w:numId w:val="9"/>
              </w:numPr>
              <w:ind w:firstLine="0" w:firstLineChars="0"/>
              <w:rPr>
                <w:rFonts w:hint="eastAsia" w:ascii="宋体" w:hAnsi="宋体" w:eastAsia="宋体" w:cs="宋体"/>
                <w:sz w:val="24"/>
                <w:szCs w:val="24"/>
              </w:rPr>
            </w:pPr>
            <w:r>
              <w:rPr>
                <w:rFonts w:hint="eastAsia" w:ascii="宋体" w:hAnsi="宋体" w:eastAsia="宋体" w:cs="宋体"/>
                <w:sz w:val="24"/>
                <w:szCs w:val="24"/>
              </w:rPr>
              <w:t>座椅、靠背上表面边缘应以R不小于3mm的圆弧过渡；座椅下部、靠背后侧棱边应圆滑过渡；</w:t>
            </w:r>
          </w:p>
          <w:p>
            <w:pPr>
              <w:pStyle w:val="16"/>
              <w:numPr>
                <w:ilvl w:val="0"/>
                <w:numId w:val="9"/>
              </w:numPr>
              <w:ind w:firstLine="0" w:firstLineChars="0"/>
              <w:rPr>
                <w:rFonts w:hint="eastAsia" w:ascii="宋体" w:hAnsi="宋体" w:eastAsia="宋体" w:cs="宋体"/>
                <w:sz w:val="24"/>
                <w:szCs w:val="24"/>
              </w:rPr>
            </w:pPr>
            <w:r>
              <w:rPr>
                <w:rFonts w:hint="eastAsia" w:ascii="宋体" w:hAnsi="宋体" w:eastAsia="宋体" w:cs="宋体"/>
                <w:sz w:val="24"/>
                <w:szCs w:val="24"/>
              </w:rPr>
              <w:t>蹬力器摆杆应有限制摆幅的限位装置，蹬力器摆杆规格不小于Φ60mm×3mm；脚踏部位应有防滑措施；蹬力器摆杆与立柱之间的最小距离应大于230mm；</w:t>
            </w:r>
          </w:p>
          <w:p>
            <w:pPr>
              <w:pStyle w:val="16"/>
              <w:numPr>
                <w:ilvl w:val="0"/>
                <w:numId w:val="9"/>
              </w:numPr>
              <w:ind w:firstLine="0" w:firstLineChars="0"/>
              <w:rPr>
                <w:rFonts w:hint="eastAsia" w:ascii="宋体" w:hAnsi="宋体" w:eastAsia="宋体" w:cs="宋体"/>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pStyle w:val="16"/>
              <w:numPr>
                <w:ilvl w:val="0"/>
                <w:numId w:val="9"/>
              </w:numPr>
              <w:ind w:firstLine="0" w:firstLineChars="0"/>
              <w:rPr>
                <w:rFonts w:hint="eastAsia" w:ascii="宋体" w:hAnsi="宋体" w:eastAsia="宋体" w:cs="宋体"/>
                <w:sz w:val="24"/>
                <w:szCs w:val="24"/>
              </w:rPr>
            </w:pPr>
            <w:r>
              <w:rPr>
                <w:rFonts w:hint="eastAsia" w:ascii="宋体" w:hAnsi="宋体" w:eastAsia="宋体" w:cs="宋体"/>
                <w:sz w:val="24"/>
                <w:szCs w:val="24"/>
              </w:rPr>
              <w:t>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3</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18</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四人两组跷跷板</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numPr>
                <w:ilvl w:val="0"/>
                <w:numId w:val="10"/>
              </w:numPr>
              <w:jc w:val="left"/>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widowControl/>
              <w:numPr>
                <w:ilvl w:val="0"/>
                <w:numId w:val="10"/>
              </w:numPr>
              <w:jc w:val="left"/>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w:t>
            </w:r>
          </w:p>
          <w:p>
            <w:pPr>
              <w:widowControl/>
              <w:numPr>
                <w:ilvl w:val="0"/>
                <w:numId w:val="10"/>
              </w:numPr>
              <w:jc w:val="left"/>
              <w:rPr>
                <w:rFonts w:hint="eastAsia" w:ascii="宋体" w:hAnsi="宋体" w:eastAsia="宋体" w:cs="宋体"/>
                <w:sz w:val="24"/>
                <w:szCs w:val="24"/>
              </w:rPr>
            </w:pPr>
            <w:r>
              <w:rPr>
                <w:rFonts w:hint="eastAsia" w:ascii="宋体" w:hAnsi="宋体" w:eastAsia="宋体" w:cs="宋体"/>
                <w:sz w:val="24"/>
                <w:szCs w:val="24"/>
              </w:rPr>
              <w:t>使用者在器材上面，运动至下极限位置时，活动杆件底部距地面的距离应不小于230mm，应有前扶手，最大跌落高度1000mm，倾斜角度不大于20°，座椅上表面边缘应以R不小于3mm的圆弧过渡；其他易触及的棱边应圆滑过渡；在坐位的中心侧向施加695N的力，单侧偏摆量不大于7%；</w:t>
            </w:r>
          </w:p>
          <w:p>
            <w:pPr>
              <w:widowControl/>
              <w:numPr>
                <w:ilvl w:val="0"/>
                <w:numId w:val="10"/>
              </w:numPr>
              <w:jc w:val="left"/>
              <w:rPr>
                <w:rFonts w:hint="eastAsia" w:ascii="宋体" w:hAnsi="宋体" w:eastAsia="宋体" w:cs="宋体"/>
                <w:sz w:val="24"/>
                <w:szCs w:val="24"/>
              </w:rPr>
            </w:pPr>
            <w:r>
              <w:rPr>
                <w:rFonts w:hint="eastAsia" w:ascii="宋体" w:hAnsi="宋体" w:eastAsia="宋体" w:cs="宋体"/>
                <w:sz w:val="24"/>
                <w:szCs w:val="24"/>
              </w:rPr>
              <w:t>（4）使用太阳能或自发电充电模式，采用锂电池或胶体蓄电池，充电后应能满足24小时内器材正常使用；</w:t>
            </w:r>
          </w:p>
          <w:p>
            <w:pPr>
              <w:widowControl/>
              <w:jc w:val="left"/>
              <w:rPr>
                <w:rFonts w:hint="eastAsia" w:ascii="宋体" w:hAnsi="宋体" w:eastAsia="宋体" w:cs="宋体"/>
                <w:sz w:val="24"/>
                <w:szCs w:val="24"/>
              </w:rPr>
            </w:pPr>
            <w:r>
              <w:rPr>
                <w:rFonts w:hint="eastAsia" w:ascii="宋体" w:hAnsi="宋体" w:eastAsia="宋体" w:cs="宋体"/>
                <w:sz w:val="24"/>
                <w:szCs w:val="24"/>
              </w:rPr>
              <w:t>（5）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19</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双位腹部训练器</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numPr>
                <w:ilvl w:val="0"/>
                <w:numId w:val="11"/>
              </w:numPr>
              <w:ind w:firstLine="0" w:firstLineChars="0"/>
              <w:rPr>
                <w:rFonts w:hint="eastAsia" w:ascii="宋体" w:hAnsi="宋体" w:eastAsia="宋体" w:cs="宋体"/>
                <w:sz w:val="24"/>
                <w:szCs w:val="24"/>
              </w:rPr>
            </w:pPr>
            <w:r>
              <w:rPr>
                <w:rFonts w:hint="eastAsia" w:ascii="宋体" w:hAnsi="宋体" w:eastAsia="宋体" w:cs="宋体"/>
                <w:sz w:val="24"/>
                <w:szCs w:val="24"/>
              </w:rPr>
              <w:t>器材主立柱上端带顶，顶的材料为铝板或复合材料或膜材。</w:t>
            </w:r>
          </w:p>
          <w:p>
            <w:pPr>
              <w:pStyle w:val="16"/>
              <w:numPr>
                <w:ilvl w:val="0"/>
                <w:numId w:val="11"/>
              </w:numPr>
              <w:ind w:firstLine="0" w:firstLineChars="0"/>
              <w:rPr>
                <w:rFonts w:hint="eastAsia" w:ascii="宋体" w:hAnsi="宋体" w:eastAsia="宋体" w:cs="宋体"/>
                <w:sz w:val="24"/>
                <w:szCs w:val="24"/>
              </w:rPr>
            </w:pPr>
            <w:r>
              <w:rPr>
                <w:rFonts w:hint="eastAsia" w:ascii="宋体" w:hAnsi="宋体" w:eastAsia="宋体" w:cs="宋体"/>
                <w:sz w:val="24"/>
                <w:szCs w:val="24"/>
              </w:rPr>
              <w:t>主立柱截面尺寸不小于1</w:t>
            </w:r>
            <w:r>
              <w:rPr>
                <w:rFonts w:hint="eastAsia" w:ascii="宋体" w:hAnsi="宋体" w:cs="宋体"/>
                <w:sz w:val="24"/>
                <w:szCs w:val="24"/>
              </w:rPr>
              <w:t>4</w:t>
            </w:r>
            <w:r>
              <w:rPr>
                <w:rFonts w:hint="eastAsia" w:ascii="宋体" w:hAnsi="宋体" w:eastAsia="宋体" w:cs="宋体"/>
                <w:sz w:val="24"/>
                <w:szCs w:val="24"/>
              </w:rPr>
              <w:t>0mm×100mm，主要承载立柱钢管厚度应不小于3mm，钢、塑木、铝合金结构，各支撑管间隙应小于8mm或整体式板面；</w:t>
            </w:r>
          </w:p>
          <w:p>
            <w:pPr>
              <w:pStyle w:val="16"/>
              <w:numPr>
                <w:ilvl w:val="0"/>
                <w:numId w:val="11"/>
              </w:numPr>
              <w:ind w:firstLine="0" w:firstLineChars="0"/>
              <w:rPr>
                <w:rFonts w:hint="eastAsia" w:ascii="宋体" w:hAnsi="宋体" w:eastAsia="宋体" w:cs="宋体"/>
                <w:sz w:val="24"/>
                <w:szCs w:val="24"/>
              </w:rPr>
            </w:pPr>
            <w:r>
              <w:rPr>
                <w:rFonts w:hint="eastAsia" w:ascii="宋体" w:hAnsi="宋体" w:eastAsia="宋体" w:cs="宋体"/>
                <w:sz w:val="24"/>
                <w:szCs w:val="24"/>
              </w:rPr>
              <w:t>使用太阳能或自发电充电模式，采用锂电池或胶体蓄电池，充电后应能满足24小时内器材正常使用；</w:t>
            </w:r>
          </w:p>
          <w:p>
            <w:pPr>
              <w:pStyle w:val="16"/>
              <w:numPr>
                <w:ilvl w:val="0"/>
                <w:numId w:val="11"/>
              </w:numPr>
              <w:ind w:firstLine="0" w:firstLineChars="0"/>
              <w:rPr>
                <w:rFonts w:hint="eastAsia" w:ascii="宋体" w:hAnsi="宋体" w:eastAsia="宋体" w:cs="宋体"/>
                <w:sz w:val="24"/>
                <w:szCs w:val="24"/>
              </w:rPr>
            </w:pPr>
            <w:r>
              <w:rPr>
                <w:rFonts w:hint="eastAsia" w:ascii="宋体" w:hAnsi="宋体" w:eastAsia="宋体" w:cs="宋体"/>
                <w:sz w:val="24"/>
                <w:szCs w:val="24"/>
              </w:rPr>
              <w:t>器材应具有数据采集、数据传输、数据处理等功能，数据采集应至少包括运动次数、运动时间、运动消耗数量等参数，器材应能通过显示屏或手机APP查询使用指导方案，运动数据数字显示结构防一般性敲击、防雨淋日晒、防震动，加遮阳棚并与安装环境相融合。</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20</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组合式滑梯</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（1）支柱材质及尺寸：外径</w:t>
            </w:r>
            <w:r>
              <w:rPr>
                <w:rFonts w:hint="eastAsia" w:ascii="宋体" w:hAnsi="宋体" w:eastAsia="宋体" w:cs="宋体"/>
                <w:sz w:val="24"/>
                <w:szCs w:val="24"/>
              </w:rPr>
              <w:t>不小于</w:t>
            </w:r>
            <w:r>
              <w:rPr>
                <w:rFonts w:hint="eastAsia" w:ascii="宋体" w:hAnsi="宋体" w:eastAsia="宋体" w:cs="宋体"/>
                <w:color w:val="000000"/>
                <w:sz w:val="24"/>
                <w:szCs w:val="24"/>
              </w:rPr>
              <w:t>114mm，厚度</w:t>
            </w:r>
            <w:r>
              <w:rPr>
                <w:rFonts w:hint="eastAsia" w:ascii="宋体" w:hAnsi="宋体" w:eastAsia="宋体" w:cs="宋体"/>
                <w:sz w:val="24"/>
                <w:szCs w:val="24"/>
              </w:rPr>
              <w:t>不小于</w:t>
            </w:r>
            <w:r>
              <w:rPr>
                <w:rFonts w:hint="eastAsia" w:ascii="宋体" w:hAnsi="宋体" w:eastAsia="宋体" w:cs="宋体"/>
                <w:color w:val="000000"/>
                <w:sz w:val="24"/>
                <w:szCs w:val="24"/>
              </w:rPr>
              <w:t>2.0mm镀锌钢管。表面处理后经专用塑粉喷涂，高温烤漆，抗紫外光强度高，色泽艳丽，不易脱落，日久弥新。</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（2）平台材质及尺寸</w:t>
            </w:r>
            <w:r>
              <w:rPr>
                <w:rFonts w:hint="eastAsia" w:ascii="宋体" w:hAnsi="宋体" w:eastAsia="宋体" w:cs="宋体"/>
                <w:sz w:val="24"/>
                <w:szCs w:val="24"/>
              </w:rPr>
              <w:t>不小于</w:t>
            </w:r>
            <w:r>
              <w:rPr>
                <w:rFonts w:hint="eastAsia" w:ascii="宋体" w:hAnsi="宋体" w:eastAsia="宋体" w:cs="宋体"/>
                <w:color w:val="000000"/>
                <w:sz w:val="24"/>
                <w:szCs w:val="24"/>
              </w:rPr>
              <w:t>1150mm×1150mm，厚度</w:t>
            </w:r>
            <w:r>
              <w:rPr>
                <w:rFonts w:hint="eastAsia" w:ascii="宋体" w:hAnsi="宋体" w:eastAsia="宋体" w:cs="宋体"/>
                <w:sz w:val="24"/>
                <w:szCs w:val="24"/>
              </w:rPr>
              <w:t>不小于</w:t>
            </w:r>
            <w:r>
              <w:rPr>
                <w:rFonts w:hint="eastAsia" w:ascii="宋体" w:hAnsi="宋体" w:eastAsia="宋体" w:cs="宋体"/>
                <w:color w:val="000000"/>
                <w:sz w:val="24"/>
                <w:szCs w:val="24"/>
              </w:rPr>
              <w:t>2.0mm，冷轧钢板冲孔，不积水。表面处理：酸洗淋化后全部采用保护焊，机械抛光，室外聚酯系喷塑；</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（3）镀锌钢管配件：外径28/32/38/48mm，厚度</w:t>
            </w:r>
            <w:r>
              <w:rPr>
                <w:rFonts w:hint="eastAsia" w:ascii="宋体" w:hAnsi="宋体" w:eastAsia="宋体" w:cs="宋体"/>
                <w:sz w:val="24"/>
                <w:szCs w:val="24"/>
              </w:rPr>
              <w:t>不小于</w:t>
            </w:r>
            <w:r>
              <w:rPr>
                <w:rFonts w:hint="eastAsia" w:ascii="宋体" w:hAnsi="宋体" w:eastAsia="宋体" w:cs="宋体"/>
                <w:color w:val="000000"/>
                <w:sz w:val="24"/>
                <w:szCs w:val="24"/>
              </w:rPr>
              <w:t>2.0mm镀锌钢管。表面处理后经专用塑粉喷涂，高温烤漆，抗紫外光强度高，色泽艳丽，不易脱落，日久弥新。</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（4）扣件、盖帽、脚盘材质：采用高强度铝合金一次性铸造成形，边角圆滑，进行抛砂处理后，表 面喷涂户外环保聚酯粉末，高温固化，表面光滑，抗紫外光能力强，色彩鲜艳，不易脱落，耐腐蚀；</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套</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21</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长颈鹿跷跷板</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pStyle w:val="16"/>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1.立柱：采用优质槐木材质，主要支撑柱直径10-15cm左右。槐木是一种纹理直、均匀的自然木料，表面保留其树木原有的自然姿态（自然结节、分叉、弯曲等特性），成品纹理清晰、美观大方。</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2.所有螺丝、五金件均采用不锈钢材质，耐腐蚀，不易生锈。 </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3.整套木制产品需进行各个部件组装（即试安装），组装后按照平面要求对组装位置进行标记。拆装后刷涂第一遍底漆，风干后对产品进行表面细致打磨，直至产品表面光滑，边角圆润；第二遍油漆如第一遍底漆要求，完善细节；所有步骤完成后刷涂第三遍油漆（面漆）。</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套</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2</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22</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EPDM地面面层</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1、采用全彩环保EPDM颗粒，厚度13mm（±1mm）；</w:t>
            </w:r>
          </w:p>
          <w:p>
            <w:pPr>
              <w:rPr>
                <w:rFonts w:hint="eastAsia" w:ascii="宋体" w:hAnsi="宋体" w:eastAsia="宋体" w:cs="宋体"/>
                <w:sz w:val="24"/>
                <w:szCs w:val="24"/>
              </w:rPr>
            </w:pPr>
            <w:r>
              <w:rPr>
                <w:rFonts w:hint="eastAsia" w:ascii="宋体" w:hAnsi="宋体" w:eastAsia="宋体" w:cs="宋体"/>
                <w:sz w:val="24"/>
                <w:szCs w:val="24"/>
              </w:rPr>
              <w:t>2、EPDM面层符合 GB36246-2018《中小学合成材料面层运动场地》成品中有害物质限量要求。（为保障响应资料的真实合法性，投标单位需要提供需提供检测报告扫描件）</w:t>
            </w:r>
          </w:p>
          <w:p>
            <w:pPr>
              <w:rPr>
                <w:rFonts w:hint="eastAsia" w:ascii="宋体" w:hAnsi="宋体" w:eastAsia="宋体" w:cs="宋体"/>
                <w:bCs/>
                <w:sz w:val="24"/>
                <w:szCs w:val="24"/>
              </w:rPr>
            </w:pPr>
            <w:r>
              <w:rPr>
                <w:rFonts w:hint="eastAsia" w:ascii="宋体" w:hAnsi="宋体" w:eastAsia="宋体" w:cs="宋体"/>
                <w:sz w:val="24"/>
                <w:szCs w:val="24"/>
              </w:rPr>
              <w:t>3、EPDM面层符合 GB36246-2018《中小学合成材料面层运动场地》成品物理性能指标：（为保障响应资料的真实合法性，投标单位需要提供需提供检测报告扫描件）</w:t>
            </w:r>
          </w:p>
          <w:tbl>
            <w:tblPr>
              <w:tblStyle w:val="9"/>
              <w:tblW w:w="4411" w:type="dxa"/>
              <w:jc w:val="center"/>
              <w:tblLayout w:type="fixed"/>
              <w:tblCellMar>
                <w:top w:w="15" w:type="dxa"/>
                <w:left w:w="15" w:type="dxa"/>
                <w:bottom w:w="15" w:type="dxa"/>
                <w:right w:w="15" w:type="dxa"/>
              </w:tblCellMar>
            </w:tblPr>
            <w:tblGrid>
              <w:gridCol w:w="2851"/>
              <w:gridCol w:w="1560"/>
            </w:tblGrid>
            <w:tr>
              <w:tblPrEx>
                <w:tblCellMar>
                  <w:top w:w="15" w:type="dxa"/>
                  <w:left w:w="15" w:type="dxa"/>
                  <w:bottom w:w="15" w:type="dxa"/>
                  <w:right w:w="15" w:type="dxa"/>
                </w:tblCellMar>
              </w:tblPrEx>
              <w:trPr>
                <w:jc w:val="center"/>
              </w:trPr>
              <w:tc>
                <w:tcPr>
                  <w:tcW w:w="285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要求</w:t>
                  </w:r>
                </w:p>
              </w:tc>
            </w:tr>
            <w:tr>
              <w:tblPrEx>
                <w:tblCellMar>
                  <w:top w:w="15" w:type="dxa"/>
                  <w:left w:w="15" w:type="dxa"/>
                  <w:bottom w:w="15" w:type="dxa"/>
                  <w:right w:w="15" w:type="dxa"/>
                </w:tblCellMar>
              </w:tblPrEx>
              <w:trPr>
                <w:jc w:val="center"/>
              </w:trPr>
              <w:tc>
                <w:tcPr>
                  <w:tcW w:w="285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冲击吸收/(%)</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35~50</w:t>
                  </w:r>
                </w:p>
              </w:tc>
            </w:tr>
            <w:tr>
              <w:tblPrEx>
                <w:tblCellMar>
                  <w:top w:w="15" w:type="dxa"/>
                  <w:left w:w="15" w:type="dxa"/>
                  <w:bottom w:w="15" w:type="dxa"/>
                  <w:right w:w="15" w:type="dxa"/>
                </w:tblCellMar>
              </w:tblPrEx>
              <w:trPr>
                <w:jc w:val="center"/>
              </w:trPr>
              <w:tc>
                <w:tcPr>
                  <w:tcW w:w="285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垂直变形/（mm）</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0.6~3.0</w:t>
                  </w:r>
                </w:p>
              </w:tc>
            </w:tr>
            <w:tr>
              <w:tblPrEx>
                <w:tblCellMar>
                  <w:top w:w="15" w:type="dxa"/>
                  <w:left w:w="15" w:type="dxa"/>
                  <w:bottom w:w="15" w:type="dxa"/>
                  <w:right w:w="15" w:type="dxa"/>
                </w:tblCellMar>
              </w:tblPrEx>
              <w:trPr>
                <w:jc w:val="center"/>
              </w:trPr>
              <w:tc>
                <w:tcPr>
                  <w:tcW w:w="285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抗滑值/（BPN,20℃）</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≥47（湿测）</w:t>
                  </w:r>
                </w:p>
              </w:tc>
            </w:tr>
            <w:tr>
              <w:tblPrEx>
                <w:tblCellMar>
                  <w:top w:w="15" w:type="dxa"/>
                  <w:left w:w="15" w:type="dxa"/>
                  <w:bottom w:w="15" w:type="dxa"/>
                  <w:right w:w="15" w:type="dxa"/>
                </w:tblCellMar>
              </w:tblPrEx>
              <w:trPr>
                <w:jc w:val="center"/>
              </w:trPr>
              <w:tc>
                <w:tcPr>
                  <w:tcW w:w="285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拉伸强度/(Mpa)</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≥0.4</w:t>
                  </w:r>
                </w:p>
              </w:tc>
            </w:tr>
            <w:tr>
              <w:tblPrEx>
                <w:tblCellMar>
                  <w:top w:w="15" w:type="dxa"/>
                  <w:left w:w="15" w:type="dxa"/>
                  <w:bottom w:w="15" w:type="dxa"/>
                  <w:right w:w="15" w:type="dxa"/>
                </w:tblCellMar>
              </w:tblPrEx>
              <w:trPr>
                <w:jc w:val="center"/>
              </w:trPr>
              <w:tc>
                <w:tcPr>
                  <w:tcW w:w="285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拉断伸长率/（%）</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≥40</w:t>
                  </w:r>
                </w:p>
              </w:tc>
            </w:tr>
            <w:tr>
              <w:tblPrEx>
                <w:tblCellMar>
                  <w:top w:w="15" w:type="dxa"/>
                  <w:left w:w="15" w:type="dxa"/>
                  <w:bottom w:w="15" w:type="dxa"/>
                  <w:right w:w="15" w:type="dxa"/>
                </w:tblCellMar>
              </w:tblPrEx>
              <w:trPr>
                <w:jc w:val="center"/>
              </w:trPr>
              <w:tc>
                <w:tcPr>
                  <w:tcW w:w="285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阻燃性能/(级）</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I</w:t>
                  </w:r>
                </w:p>
              </w:tc>
            </w:tr>
          </w:tbl>
          <w:p>
            <w:pPr>
              <w:rPr>
                <w:rFonts w:hint="eastAsia" w:ascii="宋体" w:hAnsi="宋体" w:eastAsia="宋体" w:cs="宋体"/>
                <w:sz w:val="24"/>
                <w:szCs w:val="24"/>
              </w:rPr>
            </w:pPr>
            <w:r>
              <w:rPr>
                <w:rFonts w:hint="eastAsia" w:ascii="宋体" w:hAnsi="宋体" w:eastAsia="宋体" w:cs="宋体"/>
                <w:sz w:val="24"/>
                <w:szCs w:val="24"/>
              </w:rPr>
              <w:t>4、★EPDM面层胶粘剂50℃贮存60天后，贮存稳定性检验结果通过GB/T 6753.3-1986检测标准要求。（为保障响应资料的真实合法性，投标单位需要提供需提供检测报告扫描件）</w:t>
            </w:r>
          </w:p>
          <w:p>
            <w:pPr>
              <w:rPr>
                <w:rFonts w:hint="eastAsia" w:ascii="宋体" w:hAnsi="宋体" w:eastAsia="宋体" w:cs="宋体"/>
                <w:kern w:val="2"/>
                <w:sz w:val="24"/>
                <w:szCs w:val="24"/>
              </w:rPr>
            </w:pPr>
            <w:r>
              <w:rPr>
                <w:rFonts w:hint="eastAsia" w:ascii="宋体" w:hAnsi="宋体" w:eastAsia="宋体" w:cs="宋体"/>
                <w:sz w:val="24"/>
                <w:szCs w:val="24"/>
              </w:rPr>
              <w:t>5、所投EPDM颗粒制造商具有符合GB36246-2018《中小学合成材料面层运动场地》要求的检验报告。（为保障响应资料的真实合法性，投标单位需要提供需提供检测报告扫描件）</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150</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23</w:t>
            </w:r>
          </w:p>
        </w:tc>
        <w:tc>
          <w:tcPr>
            <w:tcW w:w="65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智能健身驿站</w:t>
            </w:r>
          </w:p>
        </w:tc>
        <w:tc>
          <w:tcPr>
            <w:tcW w:w="6618"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（1）主体外形结构呈伞形，伞膜由主立柱、横支撑管、斜拉管共同支撑设置；</w:t>
            </w:r>
          </w:p>
          <w:p>
            <w:pPr>
              <w:rPr>
                <w:rFonts w:hint="eastAsia" w:ascii="宋体" w:hAnsi="宋体" w:eastAsia="宋体" w:cs="宋体"/>
                <w:sz w:val="24"/>
                <w:szCs w:val="24"/>
              </w:rPr>
            </w:pPr>
            <w:r>
              <w:rPr>
                <w:rFonts w:hint="eastAsia" w:ascii="宋体" w:hAnsi="宋体" w:eastAsia="宋体" w:cs="宋体"/>
                <w:sz w:val="24"/>
                <w:szCs w:val="24"/>
              </w:rPr>
              <w:t>（2）伞膜由上、下固定支架夹紧后采用顶紧装置进行涨紧，涨紧装置位于伞膜的下方；</w:t>
            </w:r>
          </w:p>
          <w:p>
            <w:pPr>
              <w:rPr>
                <w:rFonts w:hint="eastAsia" w:ascii="宋体" w:hAnsi="宋体" w:eastAsia="宋体" w:cs="宋体"/>
                <w:sz w:val="24"/>
                <w:szCs w:val="24"/>
              </w:rPr>
            </w:pPr>
            <w:r>
              <w:rPr>
                <w:rFonts w:hint="eastAsia" w:ascii="宋体" w:hAnsi="宋体" w:eastAsia="宋体" w:cs="宋体"/>
                <w:sz w:val="24"/>
                <w:szCs w:val="24"/>
              </w:rPr>
              <w:t>（3）6根立柱均匀分布，并配置12件运动器材，其中智能器材不少于6种；12件运动器材全部固定于立柱之上，器材不得超出伞膜的覆盖范围；伞膜正下方另放置1台棋牌桌；告示牌设置于驿站外合适位置。</w:t>
            </w:r>
          </w:p>
          <w:p>
            <w:pPr>
              <w:rPr>
                <w:rFonts w:hint="eastAsia" w:ascii="宋体" w:hAnsi="宋体" w:eastAsia="宋体" w:cs="宋体"/>
                <w:sz w:val="24"/>
                <w:szCs w:val="24"/>
              </w:rPr>
            </w:pPr>
            <w:r>
              <w:rPr>
                <w:rFonts w:hint="eastAsia" w:ascii="宋体" w:hAnsi="宋体" w:eastAsia="宋体" w:cs="宋体"/>
                <w:sz w:val="24"/>
                <w:szCs w:val="24"/>
              </w:rPr>
              <w:t>（4）伞立柱的固定采用地埋结构，主立柱采用钢、塑木、铝结构；</w:t>
            </w:r>
          </w:p>
          <w:p>
            <w:pPr>
              <w:rPr>
                <w:rFonts w:hint="eastAsia" w:ascii="宋体" w:hAnsi="宋体" w:eastAsia="宋体" w:cs="宋体"/>
                <w:sz w:val="24"/>
                <w:szCs w:val="24"/>
              </w:rPr>
            </w:pPr>
            <w:r>
              <w:rPr>
                <w:rFonts w:hint="eastAsia" w:ascii="宋体" w:hAnsi="宋体" w:eastAsia="宋体" w:cs="宋体"/>
                <w:sz w:val="24"/>
                <w:szCs w:val="24"/>
              </w:rPr>
              <w:t>（5）主立柱截面尺寸不小于140mm×100mm×3.0mm；横支撑管不小于φ76×2（mm），斜拉管不小于φ50×2（mm）；</w:t>
            </w:r>
          </w:p>
          <w:p>
            <w:pPr>
              <w:rPr>
                <w:rFonts w:hint="eastAsia" w:ascii="宋体" w:hAnsi="宋体" w:eastAsia="宋体" w:cs="宋体"/>
                <w:sz w:val="24"/>
                <w:szCs w:val="24"/>
              </w:rPr>
            </w:pPr>
            <w:r>
              <w:rPr>
                <w:rFonts w:hint="eastAsia" w:ascii="宋体" w:hAnsi="宋体" w:eastAsia="宋体" w:cs="宋体"/>
                <w:sz w:val="24"/>
                <w:szCs w:val="24"/>
              </w:rPr>
              <w:t>（6）驿站整体高度不低于5米，驿站水平投影面积不小于</w:t>
            </w:r>
            <w:r>
              <w:rPr>
                <w:rFonts w:hint="eastAsia" w:ascii="宋体" w:hAnsi="宋体" w:cs="宋体"/>
                <w:sz w:val="24"/>
                <w:szCs w:val="24"/>
              </w:rPr>
              <w:t>4</w:t>
            </w:r>
            <w:r>
              <w:rPr>
                <w:rFonts w:hint="eastAsia" w:ascii="宋体" w:hAnsi="宋体" w:eastAsia="宋体" w:cs="宋体"/>
                <w:sz w:val="24"/>
                <w:szCs w:val="24"/>
              </w:rPr>
              <w:t>0平方米；</w:t>
            </w:r>
          </w:p>
          <w:p>
            <w:pPr>
              <w:rPr>
                <w:rFonts w:hint="eastAsia" w:ascii="宋体" w:hAnsi="宋体" w:eastAsia="宋体" w:cs="宋体"/>
                <w:sz w:val="24"/>
                <w:szCs w:val="24"/>
              </w:rPr>
            </w:pPr>
            <w:r>
              <w:rPr>
                <w:rFonts w:hint="eastAsia" w:ascii="宋体" w:hAnsi="宋体" w:eastAsia="宋体" w:cs="宋体"/>
                <w:sz w:val="24"/>
                <w:szCs w:val="24"/>
              </w:rPr>
              <w:t>（7）驿站内需配置照明灯、智能语音系统、USB充电口，手机放置盒等。</w:t>
            </w:r>
          </w:p>
          <w:tbl>
            <w:tblPr>
              <w:tblStyle w:val="9"/>
              <w:tblW w:w="6679" w:type="dxa"/>
              <w:jc w:val="center"/>
              <w:tblLayout w:type="fixed"/>
              <w:tblCellMar>
                <w:top w:w="0" w:type="dxa"/>
                <w:left w:w="0" w:type="dxa"/>
                <w:bottom w:w="0" w:type="dxa"/>
                <w:right w:w="0" w:type="dxa"/>
              </w:tblCellMar>
            </w:tblPr>
            <w:tblGrid>
              <w:gridCol w:w="806"/>
              <w:gridCol w:w="1163"/>
              <w:gridCol w:w="4710"/>
            </w:tblGrid>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4710"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技术要求</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智能划船</w:t>
                  </w:r>
                </w:p>
                <w:p>
                  <w:pPr>
                    <w:jc w:val="center"/>
                    <w:rPr>
                      <w:rFonts w:hint="eastAsia" w:ascii="宋体" w:hAnsi="宋体" w:eastAsia="宋体" w:cs="宋体"/>
                      <w:sz w:val="24"/>
                      <w:szCs w:val="24"/>
                    </w:rPr>
                  </w:pPr>
                  <w:r>
                    <w:rPr>
                      <w:rFonts w:hint="eastAsia" w:ascii="宋体" w:hAnsi="宋体" w:eastAsia="宋体" w:cs="宋体"/>
                      <w:sz w:val="24"/>
                      <w:szCs w:val="24"/>
                    </w:rPr>
                    <w:t>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1）脚踏部位应设置防脱落措施；</w:t>
                  </w:r>
                </w:p>
                <w:p>
                  <w:pPr>
                    <w:rPr>
                      <w:rFonts w:hint="eastAsia" w:ascii="宋体" w:hAnsi="宋体" w:eastAsia="宋体" w:cs="宋体"/>
                      <w:sz w:val="24"/>
                      <w:szCs w:val="24"/>
                    </w:rPr>
                  </w:pPr>
                  <w:r>
                    <w:rPr>
                      <w:rFonts w:hint="eastAsia" w:ascii="宋体" w:hAnsi="宋体" w:eastAsia="宋体" w:cs="宋体"/>
                      <w:sz w:val="24"/>
                      <w:szCs w:val="24"/>
                    </w:rPr>
                    <w:t>2）活动部件点下底面距地面点高度应不小于200mm；</w:t>
                  </w:r>
                </w:p>
                <w:p>
                  <w:pPr>
                    <w:rPr>
                      <w:rFonts w:hint="eastAsia" w:ascii="宋体" w:hAnsi="宋体" w:eastAsia="宋体" w:cs="宋体"/>
                      <w:sz w:val="24"/>
                      <w:szCs w:val="24"/>
                    </w:rPr>
                  </w:pPr>
                  <w:r>
                    <w:rPr>
                      <w:rFonts w:hint="eastAsia" w:ascii="宋体" w:hAnsi="宋体" w:eastAsia="宋体" w:cs="宋体"/>
                      <w:sz w:val="24"/>
                      <w:szCs w:val="24"/>
                    </w:rPr>
                    <w:t>3）座板采用塑木板或一体成型钢制坐板。</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智能推举训练器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1）主要承载立柱钢管厚度应不小于3mm。</w:t>
                  </w:r>
                </w:p>
                <w:p>
                  <w:pPr>
                    <w:rPr>
                      <w:rFonts w:hint="eastAsia" w:ascii="宋体" w:hAnsi="宋体" w:eastAsia="宋体" w:cs="宋体"/>
                      <w:sz w:val="24"/>
                      <w:szCs w:val="24"/>
                    </w:rPr>
                  </w:pPr>
                  <w:r>
                    <w:rPr>
                      <w:rFonts w:hint="eastAsia" w:ascii="宋体" w:hAnsi="宋体" w:eastAsia="宋体" w:cs="宋体"/>
                      <w:sz w:val="24"/>
                      <w:szCs w:val="24"/>
                    </w:rPr>
                    <w:t>2）应有限位装置；</w:t>
                  </w:r>
                </w:p>
                <w:p>
                  <w:pPr>
                    <w:rPr>
                      <w:rFonts w:hint="eastAsia" w:ascii="宋体" w:hAnsi="宋体" w:eastAsia="宋体" w:cs="宋体"/>
                      <w:sz w:val="24"/>
                      <w:szCs w:val="24"/>
                    </w:rPr>
                  </w:pPr>
                  <w:r>
                    <w:rPr>
                      <w:rFonts w:hint="eastAsia" w:ascii="宋体" w:hAnsi="宋体" w:eastAsia="宋体" w:cs="宋体"/>
                      <w:sz w:val="24"/>
                      <w:szCs w:val="24"/>
                    </w:rPr>
                    <w:t>3）活动部件的下底面距地面的最小高度应为120mm；</w:t>
                  </w:r>
                </w:p>
                <w:p>
                  <w:pPr>
                    <w:rPr>
                      <w:rFonts w:hint="eastAsia" w:ascii="宋体" w:hAnsi="宋体" w:eastAsia="宋体" w:cs="宋体"/>
                      <w:sz w:val="24"/>
                      <w:szCs w:val="24"/>
                    </w:rPr>
                  </w:pPr>
                  <w:r>
                    <w:rPr>
                      <w:rFonts w:hint="eastAsia" w:ascii="宋体" w:hAnsi="宋体" w:eastAsia="宋体" w:cs="宋体"/>
                      <w:sz w:val="24"/>
                      <w:szCs w:val="24"/>
                    </w:rPr>
                    <w:t>4）可能对使用者造成跌落、翻倒、碰撞或冲击伤害的，应设置防护装置。</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智能健身车</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1）器材固定在主立柱上；</w:t>
                  </w:r>
                </w:p>
                <w:p>
                  <w:pPr>
                    <w:rPr>
                      <w:rFonts w:hint="eastAsia" w:ascii="宋体" w:hAnsi="宋体" w:eastAsia="宋体" w:cs="宋体"/>
                      <w:sz w:val="24"/>
                      <w:szCs w:val="24"/>
                    </w:rPr>
                  </w:pPr>
                  <w:r>
                    <w:rPr>
                      <w:rFonts w:hint="eastAsia" w:ascii="宋体" w:hAnsi="宋体" w:eastAsia="宋体" w:cs="宋体"/>
                      <w:sz w:val="24"/>
                      <w:szCs w:val="24"/>
                    </w:rPr>
                    <w:t>2）扶手管应不小于16mm且不大于45mm，厚度不小于3.0mm；</w:t>
                  </w:r>
                </w:p>
                <w:p>
                  <w:pPr>
                    <w:rPr>
                      <w:rFonts w:hint="eastAsia" w:ascii="宋体" w:hAnsi="宋体" w:eastAsia="宋体" w:cs="宋体"/>
                      <w:sz w:val="24"/>
                      <w:szCs w:val="24"/>
                    </w:rPr>
                  </w:pPr>
                  <w:r>
                    <w:rPr>
                      <w:rFonts w:hint="eastAsia" w:ascii="宋体" w:hAnsi="宋体" w:eastAsia="宋体" w:cs="宋体"/>
                      <w:sz w:val="24"/>
                      <w:szCs w:val="24"/>
                    </w:rPr>
                    <w:t>3）转轴直径不小于φ25mm。</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智能椭圆机</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1）器材与主立柱相连固定；</w:t>
                  </w:r>
                </w:p>
                <w:p>
                  <w:pPr>
                    <w:rPr>
                      <w:rFonts w:hint="eastAsia" w:ascii="宋体" w:hAnsi="宋体" w:eastAsia="宋体" w:cs="宋体"/>
                      <w:sz w:val="24"/>
                      <w:szCs w:val="24"/>
                    </w:rPr>
                  </w:pPr>
                  <w:r>
                    <w:rPr>
                      <w:rFonts w:hint="eastAsia" w:ascii="宋体" w:hAnsi="宋体" w:eastAsia="宋体" w:cs="宋体"/>
                      <w:sz w:val="24"/>
                      <w:szCs w:val="24"/>
                    </w:rPr>
                    <w:t>2）脚踏部位应有防滑措施，站立使用的防滑面摩擦系数不小于0.5；</w:t>
                  </w:r>
                </w:p>
                <w:p>
                  <w:pPr>
                    <w:rPr>
                      <w:rFonts w:hint="eastAsia" w:ascii="宋体" w:hAnsi="宋体" w:eastAsia="宋体" w:cs="宋体"/>
                      <w:sz w:val="24"/>
                      <w:szCs w:val="24"/>
                    </w:rPr>
                  </w:pPr>
                  <w:r>
                    <w:rPr>
                      <w:rFonts w:hint="eastAsia" w:ascii="宋体" w:hAnsi="宋体" w:eastAsia="宋体" w:cs="宋体"/>
                      <w:sz w:val="24"/>
                      <w:szCs w:val="24"/>
                    </w:rPr>
                    <w:t>3）相邻运动的两踏板等间距不小于100mm。</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智能太极揉推器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1）产品采用钢制圆盘，直径不小于φ450mm，两圆盘间距不小于230mm；</w:t>
                  </w:r>
                </w:p>
                <w:p>
                  <w:pPr>
                    <w:rPr>
                      <w:rFonts w:hint="eastAsia" w:ascii="宋体" w:hAnsi="宋体" w:eastAsia="宋体" w:cs="宋体"/>
                      <w:sz w:val="24"/>
                      <w:szCs w:val="24"/>
                    </w:rPr>
                  </w:pPr>
                  <w:r>
                    <w:rPr>
                      <w:rFonts w:hint="eastAsia" w:ascii="宋体" w:hAnsi="宋体" w:eastAsia="宋体" w:cs="宋体"/>
                      <w:sz w:val="24"/>
                      <w:szCs w:val="24"/>
                    </w:rPr>
                    <w:t>2）转轴直径不小于φ20mm，转轴部位应设置有防止超速转动的阻尼装置。</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智能扭腰器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1）主要承载立柱钢管厚度应不小于3mm；</w:t>
                  </w:r>
                </w:p>
                <w:p>
                  <w:pPr>
                    <w:rPr>
                      <w:rFonts w:hint="eastAsia" w:ascii="宋体" w:hAnsi="宋体" w:eastAsia="宋体" w:cs="宋体"/>
                      <w:sz w:val="24"/>
                      <w:szCs w:val="24"/>
                    </w:rPr>
                  </w:pPr>
                  <w:r>
                    <w:rPr>
                      <w:rFonts w:hint="eastAsia" w:ascii="宋体" w:hAnsi="宋体" w:eastAsia="宋体" w:cs="宋体"/>
                      <w:sz w:val="24"/>
                      <w:szCs w:val="24"/>
                    </w:rPr>
                    <w:t>2）扭腰盘应有防止超速转动的阻尼装置；</w:t>
                  </w:r>
                </w:p>
                <w:p>
                  <w:pPr>
                    <w:rPr>
                      <w:rFonts w:hint="eastAsia" w:ascii="宋体" w:hAnsi="宋体" w:eastAsia="宋体" w:cs="宋体"/>
                      <w:sz w:val="24"/>
                      <w:szCs w:val="24"/>
                    </w:rPr>
                  </w:pPr>
                  <w:r>
                    <w:rPr>
                      <w:rFonts w:hint="eastAsia" w:ascii="宋体" w:hAnsi="宋体" w:eastAsia="宋体" w:cs="宋体"/>
                      <w:sz w:val="24"/>
                      <w:szCs w:val="24"/>
                    </w:rPr>
                    <w:t>3）扭腰盘不应使用塑料材质。</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7</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上肢牵引器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1）活动把手（不含柔性部件）质量不大于600g，柔性部</w:t>
                  </w:r>
                </w:p>
                <w:p>
                  <w:pPr>
                    <w:rPr>
                      <w:rFonts w:hint="eastAsia" w:ascii="宋体" w:hAnsi="宋体" w:eastAsia="宋体" w:cs="宋体"/>
                      <w:sz w:val="24"/>
                      <w:szCs w:val="24"/>
                    </w:rPr>
                  </w:pPr>
                  <w:r>
                    <w:rPr>
                      <w:rFonts w:hint="eastAsia" w:ascii="宋体" w:hAnsi="宋体" w:eastAsia="宋体" w:cs="宋体"/>
                      <w:sz w:val="24"/>
                      <w:szCs w:val="24"/>
                    </w:rPr>
                    <w:t>件质量不大于600g，</w:t>
                  </w:r>
                </w:p>
                <w:p>
                  <w:pPr>
                    <w:rPr>
                      <w:rFonts w:hint="eastAsia" w:ascii="宋体" w:hAnsi="宋体" w:eastAsia="宋体" w:cs="宋体"/>
                      <w:sz w:val="24"/>
                      <w:szCs w:val="24"/>
                    </w:rPr>
                  </w:pPr>
                  <w:r>
                    <w:rPr>
                      <w:rFonts w:hint="eastAsia" w:ascii="宋体" w:hAnsi="宋体" w:eastAsia="宋体" w:cs="宋体"/>
                      <w:sz w:val="24"/>
                      <w:szCs w:val="24"/>
                    </w:rPr>
                    <w:t>2）把手端部直径不小于50mm</w:t>
                  </w:r>
                </w:p>
                <w:p>
                  <w:pPr>
                    <w:rPr>
                      <w:rFonts w:hint="eastAsia" w:ascii="宋体" w:hAnsi="宋体" w:eastAsia="宋体" w:cs="宋体"/>
                      <w:sz w:val="24"/>
                      <w:szCs w:val="24"/>
                    </w:rPr>
                  </w:pPr>
                  <w:r>
                    <w:rPr>
                      <w:rFonts w:hint="eastAsia" w:ascii="宋体" w:hAnsi="宋体" w:eastAsia="宋体" w:cs="宋体"/>
                      <w:sz w:val="24"/>
                      <w:szCs w:val="24"/>
                    </w:rPr>
                    <w:t>3）应有限位装置。</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8</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立式背部按摩器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1）按摩轮与刚性固定部件间最小距离应不大于8mm或不小于30mm；</w:t>
                  </w:r>
                </w:p>
                <w:p>
                  <w:pPr>
                    <w:rPr>
                      <w:rFonts w:hint="eastAsia" w:ascii="宋体" w:hAnsi="宋体" w:eastAsia="宋体" w:cs="宋体"/>
                      <w:sz w:val="24"/>
                      <w:szCs w:val="24"/>
                    </w:rPr>
                  </w:pPr>
                  <w:r>
                    <w:rPr>
                      <w:rFonts w:hint="eastAsia" w:ascii="宋体" w:hAnsi="宋体" w:eastAsia="宋体" w:cs="宋体"/>
                      <w:sz w:val="24"/>
                      <w:szCs w:val="24"/>
                    </w:rPr>
                    <w:t>2）扶手直径应不小于16mm且不大于45mm；把手端部直径不小于50mm；</w:t>
                  </w:r>
                </w:p>
                <w:p>
                  <w:pPr>
                    <w:rPr>
                      <w:rFonts w:hint="eastAsia" w:ascii="宋体" w:hAnsi="宋体" w:eastAsia="宋体" w:cs="宋体"/>
                      <w:sz w:val="24"/>
                      <w:szCs w:val="24"/>
                    </w:rPr>
                  </w:pPr>
                  <w:r>
                    <w:rPr>
                      <w:rFonts w:hint="eastAsia" w:ascii="宋体" w:hAnsi="宋体" w:eastAsia="宋体" w:cs="宋体"/>
                      <w:sz w:val="24"/>
                      <w:szCs w:val="24"/>
                    </w:rPr>
                    <w:t>3）按摩轮转轴直径不小于25mm。</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9</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腿部按摩器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1）按摩轮与刚性固定部件间最小距离应不大于8mm或不小于30mm；</w:t>
                  </w:r>
                </w:p>
                <w:p>
                  <w:pPr>
                    <w:rPr>
                      <w:rFonts w:hint="eastAsia" w:ascii="宋体" w:hAnsi="宋体" w:eastAsia="宋体" w:cs="宋体"/>
                      <w:sz w:val="24"/>
                      <w:szCs w:val="24"/>
                    </w:rPr>
                  </w:pPr>
                  <w:r>
                    <w:rPr>
                      <w:rFonts w:hint="eastAsia" w:ascii="宋体" w:hAnsi="宋体" w:eastAsia="宋体" w:cs="宋体"/>
                      <w:sz w:val="24"/>
                      <w:szCs w:val="24"/>
                    </w:rPr>
                    <w:t>2）按摩轮转轴直径不小于25mm。</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10</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手摇健身车</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1）主转轴直径不小于φ25mm；</w:t>
                  </w:r>
                </w:p>
                <w:p>
                  <w:pPr>
                    <w:rPr>
                      <w:rFonts w:hint="eastAsia" w:ascii="宋体" w:hAnsi="宋体" w:eastAsia="宋体" w:cs="宋体"/>
                      <w:sz w:val="24"/>
                      <w:szCs w:val="24"/>
                    </w:rPr>
                  </w:pPr>
                  <w:r>
                    <w:rPr>
                      <w:rFonts w:hint="eastAsia" w:ascii="宋体" w:hAnsi="宋体" w:eastAsia="宋体" w:cs="宋体"/>
                      <w:sz w:val="24"/>
                      <w:szCs w:val="24"/>
                    </w:rPr>
                    <w:t>2）转动轮与刚性固定部件间的间隙应不大于8mm或不小于30mm；</w:t>
                  </w:r>
                </w:p>
                <w:p>
                  <w:pPr>
                    <w:rPr>
                      <w:rFonts w:hint="eastAsia" w:ascii="宋体" w:hAnsi="宋体" w:eastAsia="宋体" w:cs="宋体"/>
                      <w:sz w:val="24"/>
                      <w:szCs w:val="24"/>
                    </w:rPr>
                  </w:pPr>
                  <w:r>
                    <w:rPr>
                      <w:rFonts w:hint="eastAsia" w:ascii="宋体" w:hAnsi="宋体" w:eastAsia="宋体" w:cs="宋体"/>
                      <w:sz w:val="24"/>
                      <w:szCs w:val="24"/>
                    </w:rPr>
                    <w:t>3）可满足轮椅人士使用；</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11</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膝关节训练器</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1）主轴和按摩轮轴直径不小于φ25mm；</w:t>
                  </w:r>
                </w:p>
                <w:p>
                  <w:pPr>
                    <w:rPr>
                      <w:rFonts w:hint="eastAsia" w:ascii="宋体" w:hAnsi="宋体" w:eastAsia="宋体" w:cs="宋体"/>
                      <w:sz w:val="24"/>
                      <w:szCs w:val="24"/>
                    </w:rPr>
                  </w:pPr>
                  <w:r>
                    <w:rPr>
                      <w:rFonts w:hint="eastAsia" w:ascii="宋体" w:hAnsi="宋体" w:eastAsia="宋体" w:cs="宋体"/>
                      <w:sz w:val="24"/>
                      <w:szCs w:val="24"/>
                    </w:rPr>
                    <w:t>2）、扶手直径应不小于16mm且不大于45mm,把手端部直径不小于50mm；</w:t>
                  </w:r>
                </w:p>
                <w:p>
                  <w:pPr>
                    <w:rPr>
                      <w:rFonts w:hint="eastAsia" w:ascii="宋体" w:hAnsi="宋体" w:eastAsia="宋体" w:cs="宋体"/>
                      <w:sz w:val="24"/>
                      <w:szCs w:val="24"/>
                    </w:rPr>
                  </w:pPr>
                  <w:r>
                    <w:rPr>
                      <w:rFonts w:hint="eastAsia" w:ascii="宋体" w:hAnsi="宋体" w:eastAsia="宋体" w:cs="宋体"/>
                      <w:sz w:val="24"/>
                      <w:szCs w:val="24"/>
                    </w:rPr>
                    <w:t>3）按摩轮支撑摆杆采用分体内限位设计，两按摩轮摆杆可独立运动；</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12</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压腿架</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1）压腿杠应不小于φ30×2.0mm或采用等强度钢管；</w:t>
                  </w:r>
                </w:p>
                <w:p>
                  <w:pPr>
                    <w:rPr>
                      <w:rFonts w:hint="eastAsia" w:ascii="宋体" w:hAnsi="宋体" w:eastAsia="宋体" w:cs="宋体"/>
                      <w:sz w:val="24"/>
                      <w:szCs w:val="24"/>
                    </w:rPr>
                  </w:pPr>
                  <w:r>
                    <w:rPr>
                      <w:rFonts w:hint="eastAsia" w:ascii="宋体" w:hAnsi="宋体" w:eastAsia="宋体" w:cs="宋体"/>
                      <w:sz w:val="24"/>
                      <w:szCs w:val="24"/>
                    </w:rPr>
                    <w:t>2）应满足GB19272—2011标准中相关静载荷、稳定性要求。</w:t>
                  </w:r>
                </w:p>
              </w:tc>
            </w:tr>
            <w:tr>
              <w:tblPrEx>
                <w:tblCellMar>
                  <w:top w:w="0" w:type="dxa"/>
                  <w:left w:w="0" w:type="dxa"/>
                  <w:bottom w:w="0" w:type="dxa"/>
                  <w:right w:w="0" w:type="dxa"/>
                </w:tblCellMar>
              </w:tblPrEx>
              <w:trPr>
                <w:trHeight w:val="23" w:hRule="atLeast"/>
                <w:jc w:val="center"/>
              </w:trPr>
              <w:tc>
                <w:tcPr>
                  <w:tcW w:w="806"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13</w:t>
                  </w:r>
                </w:p>
              </w:tc>
              <w:tc>
                <w:tcPr>
                  <w:tcW w:w="1163"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棋牌桌</w:t>
                  </w:r>
                </w:p>
              </w:tc>
              <w:tc>
                <w:tcPr>
                  <w:tcW w:w="4710" w:type="dxa"/>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sz w:val="24"/>
                      <w:szCs w:val="24"/>
                    </w:rPr>
                  </w:pPr>
                  <w:r>
                    <w:rPr>
                      <w:rFonts w:hint="eastAsia" w:ascii="宋体" w:hAnsi="宋体" w:eastAsia="宋体" w:cs="宋体"/>
                      <w:sz w:val="24"/>
                      <w:szCs w:val="24"/>
                    </w:rPr>
                    <w:t>1）不锈钢牌面，上边文字和图案为蚀刻，经久耐用；</w:t>
                  </w:r>
                </w:p>
                <w:p>
                  <w:pPr>
                    <w:rPr>
                      <w:rFonts w:hint="eastAsia" w:ascii="宋体" w:hAnsi="宋体" w:eastAsia="宋体" w:cs="宋体"/>
                      <w:sz w:val="24"/>
                      <w:szCs w:val="24"/>
                    </w:rPr>
                  </w:pPr>
                  <w:r>
                    <w:rPr>
                      <w:rFonts w:hint="eastAsia" w:ascii="宋体" w:hAnsi="宋体" w:eastAsia="宋体" w:cs="宋体"/>
                      <w:sz w:val="24"/>
                      <w:szCs w:val="24"/>
                    </w:rPr>
                    <w:t>2）主立柱采用优质钢管，直径不小于110mm，主立柱壁厚不小于3mm；</w:t>
                  </w:r>
                </w:p>
                <w:p>
                  <w:pPr>
                    <w:rPr>
                      <w:rFonts w:hint="eastAsia" w:ascii="宋体" w:hAnsi="宋体" w:eastAsia="宋体" w:cs="宋体"/>
                      <w:sz w:val="24"/>
                      <w:szCs w:val="24"/>
                    </w:rPr>
                  </w:pPr>
                  <w:r>
                    <w:rPr>
                      <w:rFonts w:hint="eastAsia" w:ascii="宋体" w:hAnsi="宋体" w:eastAsia="宋体" w:cs="宋体"/>
                      <w:sz w:val="24"/>
                      <w:szCs w:val="24"/>
                    </w:rPr>
                    <w:t>3）带4个坐凳，凳面采用塑木或钢材材质。</w:t>
                  </w:r>
                </w:p>
              </w:tc>
            </w:tr>
          </w:tbl>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智能健身驿站配备的12件器材及棋牌桌</w:t>
            </w:r>
            <w:r>
              <w:rPr>
                <w:rFonts w:hint="eastAsia" w:ascii="宋体" w:hAnsi="宋体" w:cs="宋体"/>
                <w:sz w:val="24"/>
                <w:szCs w:val="24"/>
              </w:rPr>
              <w:t>，</w:t>
            </w:r>
            <w:r>
              <w:rPr>
                <w:rFonts w:hint="eastAsia" w:ascii="宋体" w:hAnsi="宋体" w:eastAsia="宋体" w:cs="宋体"/>
                <w:b/>
                <w:bCs/>
                <w:sz w:val="24"/>
                <w:szCs w:val="24"/>
              </w:rPr>
              <w:t>投标单位需要提供国家认证认可监督管理委员会批准的第三方认证机构提供的认证证书</w:t>
            </w:r>
            <w:r>
              <w:rPr>
                <w:rFonts w:hint="eastAsia" w:ascii="宋体" w:hAnsi="宋体" w:cs="宋体"/>
                <w:b/>
                <w:bCs/>
                <w:sz w:val="24"/>
                <w:szCs w:val="24"/>
              </w:rPr>
              <w:t>及有效期内的确认函</w:t>
            </w:r>
            <w:r>
              <w:rPr>
                <w:rFonts w:hint="eastAsia" w:ascii="宋体" w:hAnsi="宋体" w:eastAsia="宋体" w:cs="宋体"/>
                <w:sz w:val="24"/>
                <w:szCs w:val="24"/>
              </w:rPr>
              <w:t>。</w:t>
            </w:r>
          </w:p>
        </w:tc>
        <w:tc>
          <w:tcPr>
            <w:tcW w:w="696"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套</w:t>
            </w:r>
          </w:p>
        </w:tc>
        <w:tc>
          <w:tcPr>
            <w:tcW w:w="505" w:type="dxa"/>
            <w:tcBorders>
              <w:top w:val="single" w:color="000000" w:sz="0" w:space="0"/>
              <w:left w:val="single" w:color="000000" w:sz="0" w:space="0"/>
              <w:bottom w:val="single" w:color="000000" w:sz="4"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24</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双位太空漫步机</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（1）主要功能：锻炼下肢运动，能增进心肺功能，锻炼身体协调能力；</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认证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（4）摆杆应有可靠限位装置，且单侧摆动幅度不大于65°，摆杆选用不小于φ60mm×3mm或其他强度规格的管材，扶手管材实际壁厚不小于2.5mm；</w:t>
            </w:r>
          </w:p>
          <w:p>
            <w:pPr>
              <w:rPr>
                <w:rFonts w:hint="eastAsia" w:ascii="宋体" w:hAnsi="宋体" w:eastAsia="宋体" w:cs="宋体"/>
                <w:sz w:val="24"/>
                <w:szCs w:val="24"/>
              </w:rPr>
            </w:pPr>
            <w:r>
              <w:rPr>
                <w:rFonts w:hint="eastAsia" w:ascii="宋体" w:hAnsi="宋体" w:eastAsia="宋体" w:cs="宋体"/>
                <w:sz w:val="24"/>
                <w:szCs w:val="24"/>
              </w:rPr>
              <w:t>（5）摆杆与主立柱内侧的最小距离应大于60mm；</w:t>
            </w:r>
          </w:p>
          <w:p>
            <w:pPr>
              <w:rPr>
                <w:rFonts w:hint="eastAsia" w:ascii="宋体" w:hAnsi="宋体" w:eastAsia="宋体" w:cs="宋体"/>
                <w:sz w:val="24"/>
                <w:szCs w:val="24"/>
              </w:rPr>
            </w:pPr>
            <w:r>
              <w:rPr>
                <w:rFonts w:hint="eastAsia" w:ascii="宋体" w:hAnsi="宋体" w:eastAsia="宋体" w:cs="宋体"/>
                <w:sz w:val="24"/>
                <w:szCs w:val="24"/>
              </w:rPr>
              <w:t>（6）踏板的主运动方向和易滑脱方向设置高度不小于30mm、长度大于踏板周长2/3的防滑脱的凸台或护板；凸台顶部棱边R弧应不小于2mm；</w:t>
            </w:r>
          </w:p>
          <w:p>
            <w:pPr>
              <w:rPr>
                <w:rFonts w:hint="eastAsia" w:ascii="宋体" w:hAnsi="宋体" w:eastAsia="宋体" w:cs="宋体"/>
                <w:sz w:val="24"/>
                <w:szCs w:val="24"/>
              </w:rPr>
            </w:pPr>
            <w:r>
              <w:rPr>
                <w:rFonts w:hint="eastAsia" w:ascii="宋体" w:hAnsi="宋体" w:eastAsia="宋体" w:cs="宋体"/>
                <w:sz w:val="24"/>
                <w:szCs w:val="24"/>
              </w:rPr>
              <w:t>（7）脚踏部位应有防滑措施，站立使用的单脚防滑面应不小于（3×104）mm²，摩擦系数应不小于0.5；</w:t>
            </w:r>
          </w:p>
          <w:p>
            <w:pPr>
              <w:rPr>
                <w:rFonts w:hint="eastAsia" w:ascii="宋体" w:hAnsi="宋体" w:eastAsia="宋体" w:cs="宋体"/>
                <w:sz w:val="24"/>
                <w:szCs w:val="24"/>
              </w:rPr>
            </w:pPr>
            <w:r>
              <w:rPr>
                <w:rFonts w:hint="eastAsia" w:ascii="宋体" w:hAnsi="宋体" w:eastAsia="宋体" w:cs="宋体"/>
                <w:sz w:val="24"/>
                <w:szCs w:val="24"/>
              </w:rPr>
              <w:t>（8）摆动部件下缘距地面或底面最小高度应不小于80mm；</w:t>
            </w:r>
          </w:p>
          <w:p>
            <w:pPr>
              <w:rPr>
                <w:rFonts w:hint="eastAsia" w:ascii="宋体" w:hAnsi="宋体" w:eastAsia="宋体" w:cs="宋体"/>
                <w:sz w:val="24"/>
                <w:szCs w:val="24"/>
              </w:rPr>
            </w:pPr>
            <w:r>
              <w:rPr>
                <w:rFonts w:hint="eastAsia" w:ascii="宋体" w:hAnsi="宋体" w:eastAsia="宋体" w:cs="宋体"/>
                <w:sz w:val="24"/>
                <w:szCs w:val="24"/>
              </w:rPr>
              <w:t>（9）相邻运动的两踏板的间距应不小于100mm；</w:t>
            </w:r>
          </w:p>
          <w:p>
            <w:pPr>
              <w:rPr>
                <w:rFonts w:hint="eastAsia" w:ascii="宋体" w:hAnsi="宋体" w:eastAsia="宋体" w:cs="宋体"/>
                <w:sz w:val="24"/>
                <w:szCs w:val="24"/>
              </w:rPr>
            </w:pPr>
            <w:r>
              <w:rPr>
                <w:rFonts w:hint="eastAsia" w:ascii="宋体" w:hAnsi="宋体" w:eastAsia="宋体" w:cs="宋体"/>
                <w:sz w:val="24"/>
                <w:szCs w:val="24"/>
              </w:rPr>
              <w:t>（10）转轴直径不小于25mm并辅以调质热处理；轴承座最薄处壁厚不小于6mm，轴承选用不小于6205承载能力的深沟球轴；</w:t>
            </w:r>
          </w:p>
          <w:p>
            <w:pPr>
              <w:rPr>
                <w:rFonts w:hint="eastAsia" w:ascii="宋体" w:hAnsi="宋体" w:eastAsia="宋体" w:cs="宋体"/>
                <w:sz w:val="24"/>
                <w:szCs w:val="24"/>
              </w:rPr>
            </w:pPr>
            <w:r>
              <w:rPr>
                <w:rFonts w:hint="eastAsia" w:ascii="宋体" w:hAnsi="宋体" w:eastAsia="宋体" w:cs="宋体"/>
                <w:sz w:val="24"/>
                <w:szCs w:val="24"/>
              </w:rPr>
              <w:t>（11）踏板前后应采取防止碰撞第三者的缓冲措施；</w:t>
            </w:r>
          </w:p>
          <w:p>
            <w:pPr>
              <w:rPr>
                <w:rFonts w:hint="eastAsia" w:ascii="宋体" w:hAnsi="宋体" w:eastAsia="宋体" w:cs="宋体"/>
                <w:sz w:val="24"/>
                <w:szCs w:val="24"/>
              </w:rPr>
            </w:pPr>
            <w:r>
              <w:rPr>
                <w:rFonts w:hint="eastAsia" w:ascii="宋体" w:hAnsi="宋体" w:eastAsia="宋体" w:cs="宋体"/>
                <w:sz w:val="24"/>
                <w:szCs w:val="24"/>
              </w:rPr>
              <w:t>（12）不允许存在衣服、头发钩挂或缠绕危险。</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（13）</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25</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双位椭圆机</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left"/>
              <w:rPr>
                <w:rFonts w:hint="eastAsia" w:ascii="宋体" w:hAnsi="宋体" w:eastAsia="宋体" w:cs="宋体"/>
                <w:sz w:val="24"/>
                <w:szCs w:val="24"/>
              </w:rPr>
            </w:pPr>
            <w:r>
              <w:rPr>
                <w:rFonts w:hint="eastAsia" w:ascii="宋体" w:hAnsi="宋体" w:eastAsia="宋体" w:cs="宋体"/>
                <w:sz w:val="24"/>
                <w:szCs w:val="24"/>
              </w:rPr>
              <w:t>（1）主要功能：增强心肺功能，发展上肢、下肢、腰部肌肉和四肢协调能力，锻炼腿部耐力，对膝关节、髋关节及腿部疾病有一定康复作用；</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认证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widowControl/>
              <w:jc w:val="left"/>
              <w:rPr>
                <w:rFonts w:hint="eastAsia" w:ascii="宋体" w:hAnsi="宋体" w:eastAsia="宋体" w:cs="宋体"/>
                <w:sz w:val="24"/>
                <w:szCs w:val="24"/>
              </w:rPr>
            </w:pPr>
          </w:p>
          <w:p>
            <w:pPr>
              <w:widowControl/>
              <w:jc w:val="left"/>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widowControl/>
              <w:jc w:val="left"/>
              <w:rPr>
                <w:rFonts w:hint="eastAsia" w:ascii="宋体" w:hAnsi="宋体" w:eastAsia="宋体" w:cs="宋体"/>
                <w:sz w:val="24"/>
                <w:szCs w:val="24"/>
              </w:rPr>
            </w:pPr>
            <w:r>
              <w:rPr>
                <w:rFonts w:hint="eastAsia" w:ascii="宋体" w:hAnsi="宋体" w:eastAsia="宋体" w:cs="宋体"/>
                <w:sz w:val="24"/>
                <w:szCs w:val="24"/>
              </w:rPr>
              <w:t>（4）踏板的主运动方向和易滑脱方向应设置高度不小于30mm、长度大于踏板周长2/3的防滑脱的凸台或护板；凸台顶部棱边应全部以不小于2mm的R圆弧过渡；</w:t>
            </w:r>
          </w:p>
          <w:p>
            <w:pPr>
              <w:widowControl/>
              <w:jc w:val="left"/>
              <w:rPr>
                <w:rFonts w:hint="eastAsia" w:ascii="宋体" w:hAnsi="宋体" w:eastAsia="宋体" w:cs="宋体"/>
                <w:sz w:val="24"/>
                <w:szCs w:val="24"/>
              </w:rPr>
            </w:pPr>
            <w:r>
              <w:rPr>
                <w:rFonts w:hint="eastAsia" w:ascii="宋体" w:hAnsi="宋体" w:eastAsia="宋体" w:cs="宋体"/>
                <w:sz w:val="24"/>
                <w:szCs w:val="24"/>
              </w:rPr>
              <w:t>（5）脚踏部位应有防滑措施，站立使用的单脚防滑面应不小于（3×104 ）mm²，摩擦系数应不小于0.5；</w:t>
            </w:r>
          </w:p>
          <w:p>
            <w:pPr>
              <w:widowControl/>
              <w:jc w:val="left"/>
              <w:rPr>
                <w:rFonts w:hint="eastAsia" w:ascii="宋体" w:hAnsi="宋体" w:eastAsia="宋体" w:cs="宋体"/>
                <w:sz w:val="24"/>
                <w:szCs w:val="24"/>
              </w:rPr>
            </w:pPr>
            <w:r>
              <w:rPr>
                <w:rFonts w:hint="eastAsia" w:ascii="宋体" w:hAnsi="宋体" w:eastAsia="宋体" w:cs="宋体"/>
                <w:sz w:val="24"/>
                <w:szCs w:val="24"/>
              </w:rPr>
              <w:t>（6）摆杆与立柱最小距离应大于60mm；</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（7）曲柄与脚踏管最小距离应大于30mm，脚踏管下底面与地面或机架垂直距离应不小于80mm。</w:t>
            </w:r>
          </w:p>
          <w:p>
            <w:pPr>
              <w:pStyle w:val="16"/>
              <w:ind w:firstLine="0" w:firstLineChars="0"/>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26</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双位划船训练器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（1）主要功能：锻炼四肢肌肉力量，改善四肢协调能力。</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认证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（4）应有限位装置；</w:t>
            </w:r>
          </w:p>
          <w:p>
            <w:pPr>
              <w:rPr>
                <w:rFonts w:hint="eastAsia" w:ascii="宋体" w:hAnsi="宋体" w:eastAsia="宋体" w:cs="宋体"/>
                <w:sz w:val="24"/>
                <w:szCs w:val="24"/>
              </w:rPr>
            </w:pPr>
            <w:r>
              <w:rPr>
                <w:rFonts w:hint="eastAsia" w:ascii="宋体" w:hAnsi="宋体" w:eastAsia="宋体" w:cs="宋体"/>
                <w:sz w:val="24"/>
                <w:szCs w:val="24"/>
              </w:rPr>
              <w:t>（5）活动部件的下底面距地面的最小高度应为120mm；</w:t>
            </w:r>
          </w:p>
          <w:p>
            <w:pPr>
              <w:rPr>
                <w:rFonts w:hint="eastAsia" w:ascii="宋体" w:hAnsi="宋体" w:eastAsia="宋体" w:cs="宋体"/>
                <w:sz w:val="24"/>
                <w:szCs w:val="24"/>
              </w:rPr>
            </w:pPr>
            <w:r>
              <w:rPr>
                <w:rFonts w:hint="eastAsia" w:ascii="宋体" w:hAnsi="宋体" w:eastAsia="宋体" w:cs="宋体"/>
                <w:sz w:val="24"/>
                <w:szCs w:val="24"/>
              </w:rPr>
              <w:t>（6）可能对使用者造成跌落、翻倒、碰撞或冲击伤害的，应设置防护装置。</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27</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双位推举训练器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（1）主要功能：增强身体四肢柔韧性、协调性，增强骨骼、肌肉的承受力。</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（4）把手端部直径应不小于50mm；</w:t>
            </w:r>
          </w:p>
          <w:p>
            <w:pPr>
              <w:rPr>
                <w:rFonts w:hint="eastAsia" w:ascii="宋体" w:hAnsi="宋体" w:eastAsia="宋体" w:cs="宋体"/>
                <w:sz w:val="24"/>
                <w:szCs w:val="24"/>
              </w:rPr>
            </w:pPr>
            <w:r>
              <w:rPr>
                <w:rFonts w:hint="eastAsia" w:ascii="宋体" w:hAnsi="宋体" w:eastAsia="宋体" w:cs="宋体"/>
                <w:sz w:val="24"/>
                <w:szCs w:val="24"/>
              </w:rPr>
              <w:t>（5）活动部件的下底面距地面的最小高度应不小于120mm；</w:t>
            </w:r>
          </w:p>
          <w:p>
            <w:pPr>
              <w:rPr>
                <w:rFonts w:hint="eastAsia" w:ascii="宋体" w:hAnsi="宋体" w:eastAsia="宋体" w:cs="宋体"/>
                <w:sz w:val="24"/>
                <w:szCs w:val="24"/>
              </w:rPr>
            </w:pPr>
            <w:r>
              <w:rPr>
                <w:rFonts w:hint="eastAsia" w:ascii="宋体" w:hAnsi="宋体" w:eastAsia="宋体" w:cs="宋体"/>
                <w:sz w:val="24"/>
                <w:szCs w:val="24"/>
              </w:rPr>
              <w:t>（6）可能对使用者造成跌落、翻倒、碰撞或冲击伤害的，应设置防护装置。</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28</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双位揉推器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（1）主要功能：增强人体上肢肌肉柔韧性，增强腕部、肘部、肩周等处关节灵活性，舒筋活络缓解肌肉疲劳。</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认证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（4）揉推轮盘支撑管的规格不小于φ48mm×2.5mm；</w:t>
            </w:r>
          </w:p>
          <w:p>
            <w:pPr>
              <w:rPr>
                <w:rFonts w:hint="eastAsia" w:ascii="宋体" w:hAnsi="宋体" w:eastAsia="宋体" w:cs="宋体"/>
                <w:sz w:val="24"/>
                <w:szCs w:val="24"/>
              </w:rPr>
            </w:pPr>
            <w:r>
              <w:rPr>
                <w:rFonts w:hint="eastAsia" w:ascii="宋体" w:hAnsi="宋体" w:eastAsia="宋体" w:cs="宋体"/>
                <w:sz w:val="24"/>
                <w:szCs w:val="24"/>
              </w:rPr>
              <w:t>（5）一侧为塑料转盘，另一侧为带手柄的钢制转盘，以满足使用者的不同需求，两侧两轮盘内侧距离不小于230mm；</w:t>
            </w:r>
          </w:p>
          <w:p>
            <w:pPr>
              <w:rPr>
                <w:rFonts w:hint="eastAsia" w:ascii="宋体" w:hAnsi="宋体" w:eastAsia="宋体" w:cs="宋体"/>
                <w:sz w:val="24"/>
                <w:szCs w:val="24"/>
              </w:rPr>
            </w:pPr>
            <w:r>
              <w:rPr>
                <w:rFonts w:hint="eastAsia" w:ascii="宋体" w:hAnsi="宋体" w:eastAsia="宋体" w:cs="宋体"/>
                <w:sz w:val="24"/>
                <w:szCs w:val="24"/>
              </w:rPr>
              <w:t>（6）揉推轮盘应采用阻尼装置。</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29</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双位钟摆训练器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（1）主要功能：增强人体腹部及腰部力量，发展腰部的柔韧性与灵活性。</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认证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（4）主要承载横梁不小于</w:t>
            </w:r>
            <w:r>
              <w:rPr>
                <w:rFonts w:hint="eastAsia" w:ascii="宋体" w:hAnsi="宋体" w:cs="宋体"/>
                <w:sz w:val="24"/>
                <w:szCs w:val="24"/>
              </w:rPr>
              <w:t>φ</w:t>
            </w:r>
            <w:r>
              <w:rPr>
                <w:rFonts w:hint="eastAsia" w:ascii="宋体" w:hAnsi="宋体" w:eastAsia="宋体" w:cs="宋体"/>
                <w:sz w:val="24"/>
                <w:szCs w:val="24"/>
              </w:rPr>
              <w:t>60mm×3.0mm钢管；扶手不小于</w:t>
            </w:r>
            <w:r>
              <w:rPr>
                <w:rFonts w:hint="eastAsia" w:ascii="宋体" w:hAnsi="宋体" w:cs="宋体"/>
                <w:sz w:val="24"/>
                <w:szCs w:val="24"/>
              </w:rPr>
              <w:t>φ</w:t>
            </w:r>
            <w:r>
              <w:rPr>
                <w:rFonts w:hint="eastAsia" w:ascii="宋体" w:hAnsi="宋体" w:eastAsia="宋体" w:cs="宋体"/>
                <w:sz w:val="24"/>
                <w:szCs w:val="24"/>
              </w:rPr>
              <w:t>38mm×3.0mm钢管；</w:t>
            </w:r>
          </w:p>
          <w:p>
            <w:pPr>
              <w:rPr>
                <w:rFonts w:hint="eastAsia" w:ascii="宋体" w:hAnsi="宋体" w:eastAsia="宋体" w:cs="宋体"/>
                <w:sz w:val="24"/>
                <w:szCs w:val="24"/>
              </w:rPr>
            </w:pPr>
            <w:r>
              <w:rPr>
                <w:rFonts w:hint="eastAsia" w:ascii="宋体" w:hAnsi="宋体" w:eastAsia="宋体" w:cs="宋体"/>
                <w:sz w:val="24"/>
                <w:szCs w:val="24"/>
              </w:rPr>
              <w:t>（5）摆杆不小于</w:t>
            </w:r>
            <w:r>
              <w:rPr>
                <w:rFonts w:hint="eastAsia" w:ascii="宋体" w:hAnsi="宋体" w:cs="宋体"/>
                <w:sz w:val="24"/>
                <w:szCs w:val="24"/>
              </w:rPr>
              <w:t>φ</w:t>
            </w:r>
            <w:r>
              <w:rPr>
                <w:rFonts w:hint="eastAsia" w:ascii="宋体" w:hAnsi="宋体" w:eastAsia="宋体" w:cs="宋体"/>
                <w:sz w:val="24"/>
                <w:szCs w:val="24"/>
              </w:rPr>
              <w:t>60mm×3.0mm钢管；摆臂不大于62°，限位、防刚性碰撞，止退装置设计；脚踏采用防滑、四周设有不低于30mm高的防护挡板，</w:t>
            </w:r>
          </w:p>
          <w:p>
            <w:pPr>
              <w:rPr>
                <w:rFonts w:hint="eastAsia" w:ascii="宋体" w:hAnsi="宋体" w:eastAsia="宋体" w:cs="宋体"/>
                <w:sz w:val="24"/>
                <w:szCs w:val="24"/>
              </w:rPr>
            </w:pPr>
            <w:r>
              <w:rPr>
                <w:rFonts w:hint="eastAsia" w:ascii="宋体" w:hAnsi="宋体" w:eastAsia="宋体" w:cs="宋体"/>
                <w:sz w:val="24"/>
                <w:szCs w:val="24"/>
              </w:rPr>
              <w:t>（6）踏板左右两端装有防撞装置设计；</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30</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双位扭腰器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（1）主要功能：主要锻炼腰部、髋部，增强腰部的灵活和柔韧性；</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认证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（4）主要承载横梁不小于</w:t>
            </w:r>
            <w:r>
              <w:rPr>
                <w:rFonts w:hint="eastAsia" w:ascii="宋体" w:hAnsi="宋体" w:cs="宋体"/>
                <w:sz w:val="24"/>
                <w:szCs w:val="24"/>
              </w:rPr>
              <w:t>φ</w:t>
            </w:r>
            <w:r>
              <w:rPr>
                <w:rFonts w:hint="eastAsia" w:ascii="宋体" w:hAnsi="宋体" w:eastAsia="宋体" w:cs="宋体"/>
                <w:sz w:val="24"/>
                <w:szCs w:val="24"/>
              </w:rPr>
              <w:t>60mm×3.0mm钢管；</w:t>
            </w:r>
          </w:p>
          <w:p>
            <w:pPr>
              <w:rPr>
                <w:rFonts w:hint="eastAsia" w:ascii="宋体" w:hAnsi="宋体" w:eastAsia="宋体" w:cs="宋体"/>
                <w:sz w:val="24"/>
                <w:szCs w:val="24"/>
              </w:rPr>
            </w:pPr>
            <w:r>
              <w:rPr>
                <w:rFonts w:hint="eastAsia" w:ascii="宋体" w:hAnsi="宋体" w:eastAsia="宋体" w:cs="宋体"/>
                <w:sz w:val="24"/>
                <w:szCs w:val="24"/>
              </w:rPr>
              <w:t>(5)立柱装有说明牌，内容有产品名称、锻炼功能及方法、厂家信息、售后服务电话、安全警示、专用二维码等信息；</w:t>
            </w:r>
          </w:p>
          <w:p>
            <w:pPr>
              <w:rPr>
                <w:rFonts w:hint="eastAsia" w:ascii="宋体" w:hAnsi="宋体" w:eastAsia="宋体" w:cs="宋体"/>
                <w:sz w:val="24"/>
                <w:szCs w:val="24"/>
              </w:rPr>
            </w:pPr>
            <w:r>
              <w:rPr>
                <w:rFonts w:hint="eastAsia" w:ascii="宋体" w:hAnsi="宋体" w:eastAsia="宋体" w:cs="宋体"/>
                <w:sz w:val="24"/>
                <w:szCs w:val="24"/>
              </w:rPr>
              <w:t>(6)智能显示器组件设有防尘防水装置；</w:t>
            </w:r>
          </w:p>
          <w:p>
            <w:pPr>
              <w:rPr>
                <w:rFonts w:hint="eastAsia" w:ascii="宋体" w:hAnsi="宋体" w:eastAsia="宋体" w:cs="宋体"/>
                <w:color w:val="000000"/>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31</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双位背部训练器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（1）主要功能：舒展腰背部肌肉，增强背腹肌肉，改善背部柔韧性和腹部力量，提高腰部的稳定性和灵活性。</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（4）应有限位装置；</w:t>
            </w:r>
          </w:p>
          <w:p>
            <w:pPr>
              <w:rPr>
                <w:rFonts w:hint="eastAsia" w:ascii="宋体" w:hAnsi="宋体" w:eastAsia="宋体" w:cs="宋体"/>
                <w:sz w:val="24"/>
                <w:szCs w:val="24"/>
              </w:rPr>
            </w:pPr>
            <w:r>
              <w:rPr>
                <w:rFonts w:hint="eastAsia" w:ascii="宋体" w:hAnsi="宋体" w:eastAsia="宋体" w:cs="宋体"/>
                <w:sz w:val="24"/>
                <w:szCs w:val="24"/>
              </w:rPr>
              <w:t>（5）活动部件的下底面距地面的最小高度应不小于120mm；</w:t>
            </w:r>
          </w:p>
          <w:p>
            <w:pPr>
              <w:rPr>
                <w:rFonts w:hint="eastAsia" w:ascii="宋体" w:hAnsi="宋体" w:eastAsia="宋体" w:cs="宋体"/>
                <w:sz w:val="24"/>
                <w:szCs w:val="24"/>
              </w:rPr>
            </w:pPr>
            <w:r>
              <w:rPr>
                <w:rFonts w:hint="eastAsia" w:ascii="宋体" w:hAnsi="宋体" w:eastAsia="宋体" w:cs="宋体"/>
                <w:sz w:val="24"/>
                <w:szCs w:val="24"/>
              </w:rPr>
              <w:t>（6）可能对使用者造成跌落、翻倒、碰撞或冲击伤害的，应设置防护装置。</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（7）</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32</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双位腹部训练器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left"/>
              <w:rPr>
                <w:rFonts w:hint="eastAsia" w:ascii="宋体" w:hAnsi="宋体" w:eastAsia="宋体" w:cs="宋体"/>
                <w:sz w:val="24"/>
                <w:szCs w:val="24"/>
              </w:rPr>
            </w:pPr>
            <w:r>
              <w:rPr>
                <w:rFonts w:hint="eastAsia" w:ascii="宋体" w:hAnsi="宋体" w:eastAsia="宋体" w:cs="宋体"/>
                <w:sz w:val="24"/>
                <w:szCs w:val="24"/>
              </w:rPr>
              <w:t>（1）主要功能：锻炼腰、背、腹、髋等部位肌群，增加腰部力量。</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widowControl/>
              <w:jc w:val="left"/>
              <w:rPr>
                <w:rFonts w:hint="eastAsia" w:ascii="宋体" w:hAnsi="宋体" w:eastAsia="宋体" w:cs="宋体"/>
                <w:sz w:val="24"/>
                <w:szCs w:val="24"/>
              </w:rPr>
            </w:pPr>
            <w:r>
              <w:rPr>
                <w:rFonts w:hint="eastAsia" w:ascii="宋体" w:hAnsi="宋体" w:eastAsia="宋体" w:cs="宋体"/>
                <w:sz w:val="24"/>
                <w:szCs w:val="24"/>
              </w:rPr>
              <w:t>（3）主立柱壁厚3mm，立柱直径不小于110mm；</w:t>
            </w:r>
          </w:p>
          <w:p>
            <w:pPr>
              <w:widowControl/>
              <w:jc w:val="left"/>
              <w:rPr>
                <w:rFonts w:hint="eastAsia" w:ascii="宋体" w:hAnsi="宋体" w:eastAsia="宋体" w:cs="宋体"/>
                <w:sz w:val="24"/>
                <w:szCs w:val="24"/>
              </w:rPr>
            </w:pPr>
            <w:r>
              <w:rPr>
                <w:rFonts w:hint="eastAsia" w:ascii="宋体" w:hAnsi="宋体" w:eastAsia="宋体" w:cs="宋体"/>
                <w:sz w:val="24"/>
                <w:szCs w:val="24"/>
              </w:rPr>
              <w:t>（4）同时锻炼，能有效促进腰腹部肌肉群；</w:t>
            </w:r>
          </w:p>
          <w:p>
            <w:pPr>
              <w:widowControl/>
              <w:jc w:val="left"/>
              <w:rPr>
                <w:rFonts w:hint="eastAsia" w:ascii="宋体" w:hAnsi="宋体" w:eastAsia="宋体" w:cs="宋体"/>
                <w:sz w:val="24"/>
                <w:szCs w:val="24"/>
              </w:rPr>
            </w:pPr>
            <w:r>
              <w:rPr>
                <w:rFonts w:hint="eastAsia" w:ascii="宋体" w:hAnsi="宋体" w:eastAsia="宋体" w:cs="宋体"/>
                <w:sz w:val="24"/>
                <w:szCs w:val="24"/>
              </w:rPr>
              <w:t>（5）各支撑管间隙应小于8mm或整体式板面。</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（6）</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33</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双位蹬力器</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（1）主要功能：锻炼大腿肌肉和爆发力，增强腰部肌肉力量。适用于老、中、青年人群使用。</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（3）座椅、靠背上表面边缘应以R不小于3mm的圆弧过渡；座椅下部、靠背后侧棱边R不小于2mm；</w:t>
            </w:r>
          </w:p>
          <w:p>
            <w:pPr>
              <w:rPr>
                <w:rFonts w:hint="eastAsia" w:ascii="宋体" w:hAnsi="宋体" w:eastAsia="宋体" w:cs="宋体"/>
                <w:sz w:val="24"/>
                <w:szCs w:val="24"/>
              </w:rPr>
            </w:pPr>
            <w:r>
              <w:rPr>
                <w:rFonts w:hint="eastAsia" w:ascii="宋体" w:hAnsi="宋体" w:eastAsia="宋体" w:cs="宋体"/>
                <w:sz w:val="24"/>
                <w:szCs w:val="24"/>
              </w:rPr>
              <w:t>（4）主立柱壁厚3mm，立柱直径不小于110mm；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（5）蹬力器摆杆应有限制摆幅的限位装置，蹬力器摆杆规格不小于φ60mm×3mm；</w:t>
            </w:r>
          </w:p>
          <w:p>
            <w:pPr>
              <w:rPr>
                <w:rFonts w:hint="eastAsia" w:ascii="宋体" w:hAnsi="宋体" w:eastAsia="宋体" w:cs="宋体"/>
                <w:sz w:val="24"/>
                <w:szCs w:val="24"/>
              </w:rPr>
            </w:pPr>
            <w:r>
              <w:rPr>
                <w:rFonts w:hint="eastAsia" w:ascii="宋体" w:hAnsi="宋体" w:eastAsia="宋体" w:cs="宋体"/>
                <w:sz w:val="24"/>
                <w:szCs w:val="24"/>
              </w:rPr>
              <w:t>（6）坐板采用一次冲压成形，板材壁厚不小于2.5mm；</w:t>
            </w:r>
          </w:p>
          <w:p>
            <w:pPr>
              <w:rPr>
                <w:rFonts w:hint="eastAsia" w:ascii="宋体" w:hAnsi="宋体" w:eastAsia="宋体" w:cs="宋体"/>
                <w:sz w:val="24"/>
                <w:szCs w:val="24"/>
              </w:rPr>
            </w:pPr>
            <w:r>
              <w:rPr>
                <w:rFonts w:hint="eastAsia" w:ascii="宋体" w:hAnsi="宋体" w:eastAsia="宋体" w:cs="宋体"/>
                <w:sz w:val="24"/>
                <w:szCs w:val="24"/>
              </w:rPr>
              <w:t>（7）轴承座支架、耳片壁厚不小于6mm；</w:t>
            </w:r>
          </w:p>
          <w:p>
            <w:pPr>
              <w:rPr>
                <w:rFonts w:hint="eastAsia" w:ascii="宋体" w:hAnsi="宋体" w:eastAsia="宋体" w:cs="宋体"/>
                <w:sz w:val="24"/>
                <w:szCs w:val="24"/>
              </w:rPr>
            </w:pPr>
            <w:r>
              <w:rPr>
                <w:rFonts w:hint="eastAsia" w:ascii="宋体" w:hAnsi="宋体" w:eastAsia="宋体" w:cs="宋体"/>
                <w:sz w:val="24"/>
                <w:szCs w:val="24"/>
              </w:rPr>
              <w:t>（8）采用轴承结构的，轴承座壁厚不小于6mm；轴承规格不小于6205深沟球轴承；</w:t>
            </w:r>
          </w:p>
          <w:p>
            <w:pPr>
              <w:rPr>
                <w:rFonts w:hint="eastAsia" w:ascii="宋体" w:hAnsi="宋体" w:eastAsia="宋体" w:cs="宋体"/>
                <w:sz w:val="24"/>
                <w:szCs w:val="24"/>
              </w:rPr>
            </w:pPr>
            <w:r>
              <w:rPr>
                <w:rFonts w:hint="eastAsia" w:ascii="宋体" w:hAnsi="宋体" w:eastAsia="宋体" w:cs="宋体"/>
                <w:sz w:val="24"/>
                <w:szCs w:val="24"/>
              </w:rPr>
              <w:t>（9）不允许存在剪切点、挤压点、引入点，不允许存在刚性碰撞；</w:t>
            </w:r>
          </w:p>
          <w:p>
            <w:pPr>
              <w:rPr>
                <w:rFonts w:hint="eastAsia" w:ascii="宋体" w:hAnsi="宋体" w:eastAsia="宋体" w:cs="宋体"/>
                <w:sz w:val="24"/>
                <w:szCs w:val="24"/>
              </w:rPr>
            </w:pPr>
            <w:r>
              <w:rPr>
                <w:rFonts w:hint="eastAsia" w:ascii="宋体" w:hAnsi="宋体" w:eastAsia="宋体" w:cs="宋体"/>
                <w:sz w:val="24"/>
                <w:szCs w:val="24"/>
              </w:rPr>
              <w:t>（10）脚踏部位应有防滑措施；摩擦系数应不小于0.5；</w:t>
            </w:r>
          </w:p>
          <w:p>
            <w:pPr>
              <w:rPr>
                <w:rFonts w:hint="eastAsia" w:ascii="宋体" w:hAnsi="宋体" w:eastAsia="宋体" w:cs="宋体"/>
                <w:sz w:val="24"/>
                <w:szCs w:val="24"/>
              </w:rPr>
            </w:pPr>
            <w:r>
              <w:rPr>
                <w:rFonts w:hint="eastAsia" w:ascii="宋体" w:hAnsi="宋体" w:eastAsia="宋体" w:cs="宋体"/>
                <w:sz w:val="24"/>
                <w:szCs w:val="24"/>
              </w:rPr>
              <w:t>（11）蹬力器摆杆与立柱之间的最小距离应不小于230mm；</w:t>
            </w:r>
          </w:p>
          <w:p>
            <w:pPr>
              <w:rPr>
                <w:rFonts w:hint="eastAsia" w:ascii="宋体" w:hAnsi="宋体" w:eastAsia="宋体" w:cs="宋体"/>
                <w:sz w:val="24"/>
                <w:szCs w:val="24"/>
              </w:rPr>
            </w:pPr>
            <w:r>
              <w:rPr>
                <w:rFonts w:hint="eastAsia" w:ascii="宋体" w:hAnsi="宋体" w:eastAsia="宋体" w:cs="宋体"/>
                <w:sz w:val="24"/>
                <w:szCs w:val="24"/>
              </w:rPr>
              <w:t>（12）不允许存在衣服、头发钩挂或缠绕危险。</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（13）</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bidi="ar"/>
              </w:rPr>
              <w:t>34</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四人两组跷跷板</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（1）主要功能：通过娱乐运动，增强下肢、臀部肌肉力量。</w:t>
            </w:r>
          </w:p>
          <w:p>
            <w:pPr>
              <w:rPr>
                <w:rFonts w:hint="eastAsia" w:ascii="宋体" w:hAnsi="宋体" w:eastAsia="宋体" w:cs="宋体"/>
                <w:sz w:val="24"/>
                <w:szCs w:val="24"/>
              </w:rPr>
            </w:pPr>
            <w:r>
              <w:rPr>
                <w:rFonts w:hint="eastAsia" w:ascii="宋体" w:hAnsi="宋体" w:eastAsia="宋体" w:cs="宋体"/>
                <w:sz w:val="24"/>
                <w:szCs w:val="24"/>
              </w:rPr>
              <w:t>（2）采用双立柱形式；立柱两侧装有不小于</w:t>
            </w:r>
            <w:r>
              <w:rPr>
                <w:rFonts w:hint="eastAsia" w:ascii="宋体" w:hAnsi="宋体" w:cs="宋体"/>
                <w:sz w:val="24"/>
                <w:szCs w:val="24"/>
              </w:rPr>
              <w:t>25</w:t>
            </w:r>
            <w:r>
              <w:rPr>
                <w:rFonts w:hint="eastAsia" w:ascii="宋体" w:hAnsi="宋体" w:eastAsia="宋体" w:cs="宋体"/>
                <w:sz w:val="24"/>
                <w:szCs w:val="24"/>
              </w:rPr>
              <w:t>0mm×600mm镀锌板或满足标准规范认证的其他新型材料说明牌，内容用中文和英文两种文字体现，内容包含正确锻炼方式方法、安全警示提醒、锻炼肌肉部位（图示形式）、及产品二维码和健康指导二维码（可通过手机扫码等形式，为用户提供动态器材演示视频等科学健身指导）；</w:t>
            </w:r>
          </w:p>
          <w:p>
            <w:pPr>
              <w:rPr>
                <w:rFonts w:hint="eastAsia" w:ascii="宋体" w:hAnsi="宋体" w:eastAsia="宋体" w:cs="宋体"/>
                <w:sz w:val="24"/>
                <w:szCs w:val="24"/>
              </w:rPr>
            </w:pPr>
            <w:r>
              <w:rPr>
                <w:rFonts w:hint="eastAsia" w:ascii="宋体" w:hAnsi="宋体" w:eastAsia="宋体" w:cs="宋体"/>
                <w:sz w:val="24"/>
                <w:szCs w:val="24"/>
              </w:rPr>
              <w:t>（4）主立柱壁厚3mm，立柱直径不小于110mm；</w:t>
            </w:r>
          </w:p>
          <w:p>
            <w:pPr>
              <w:rPr>
                <w:rFonts w:hint="eastAsia" w:ascii="宋体" w:hAnsi="宋体" w:eastAsia="宋体" w:cs="宋体"/>
                <w:sz w:val="24"/>
                <w:szCs w:val="24"/>
              </w:rPr>
            </w:pPr>
            <w:r>
              <w:rPr>
                <w:rFonts w:hint="eastAsia" w:ascii="宋体" w:hAnsi="宋体" w:eastAsia="宋体" w:cs="宋体"/>
                <w:sz w:val="24"/>
                <w:szCs w:val="24"/>
              </w:rPr>
              <w:t>（5）使用者在器材上面，运动至下极限位置时，活动杆件底部距地面的距离应不小于230mm，应有前扶手，最大跌落高度1000mm，倾斜角度不大于20°；</w:t>
            </w:r>
          </w:p>
          <w:p>
            <w:pPr>
              <w:rPr>
                <w:rFonts w:hint="eastAsia" w:ascii="宋体" w:hAnsi="宋体" w:eastAsia="宋体" w:cs="宋体"/>
                <w:sz w:val="24"/>
                <w:szCs w:val="24"/>
              </w:rPr>
            </w:pPr>
            <w:r>
              <w:rPr>
                <w:rFonts w:hint="eastAsia" w:ascii="宋体" w:hAnsi="宋体" w:eastAsia="宋体" w:cs="宋体"/>
                <w:sz w:val="24"/>
                <w:szCs w:val="24"/>
              </w:rPr>
              <w:t>（6）座椅上表面边缘应以R不小于3mm的圆弧过渡；其他易触及的棱边应圆滑过渡；</w:t>
            </w:r>
          </w:p>
          <w:p>
            <w:pPr>
              <w:rPr>
                <w:rFonts w:hint="eastAsia" w:ascii="宋体" w:hAnsi="宋体" w:eastAsia="宋体" w:cs="宋体"/>
                <w:sz w:val="24"/>
                <w:szCs w:val="24"/>
              </w:rPr>
            </w:pPr>
            <w:r>
              <w:rPr>
                <w:rFonts w:hint="eastAsia" w:ascii="宋体" w:hAnsi="宋体" w:eastAsia="宋体" w:cs="宋体"/>
                <w:sz w:val="24"/>
                <w:szCs w:val="24"/>
              </w:rPr>
              <w:t>（7）在坐位的中心侧向施加695N的力，单侧偏摆量不大于7%。</w:t>
            </w:r>
          </w:p>
          <w:p>
            <w:pPr>
              <w:rPr>
                <w:rFonts w:hint="eastAsia" w:ascii="宋体" w:hAnsi="宋体" w:eastAsia="宋体" w:cs="宋体"/>
                <w:sz w:val="24"/>
                <w:szCs w:val="24"/>
              </w:rPr>
            </w:pPr>
            <w:r>
              <w:rPr>
                <w:rFonts w:hint="eastAsia" w:ascii="宋体" w:hAnsi="宋体" w:eastAsia="宋体" w:cs="宋体"/>
                <w:sz w:val="24"/>
                <w:szCs w:val="24"/>
              </w:rPr>
              <w:t>（8）两侧各一组跷跷板，可以四人两人一组同时使用。</w:t>
            </w:r>
          </w:p>
          <w:p>
            <w:pPr>
              <w:pStyle w:val="16"/>
              <w:ind w:firstLine="0" w:firstLineChars="0"/>
              <w:rPr>
                <w:rFonts w:hint="eastAsia" w:ascii="宋体" w:hAnsi="宋体" w:eastAsia="宋体" w:cs="宋体"/>
                <w:color w:val="000000"/>
                <w:sz w:val="24"/>
                <w:szCs w:val="24"/>
              </w:rPr>
            </w:pPr>
            <w:r>
              <w:rPr>
                <w:rFonts w:hint="eastAsia" w:ascii="宋体" w:hAnsi="宋体" w:eastAsia="宋体" w:cs="宋体"/>
                <w:sz w:val="24"/>
                <w:szCs w:val="24"/>
              </w:rPr>
              <w:t>（9）</w:t>
            </w:r>
            <w:r>
              <w:rPr>
                <w:rFonts w:hint="eastAsia" w:ascii="宋体" w:hAnsi="宋体" w:eastAsia="宋体" w:cs="宋体"/>
                <w:b/>
                <w:bCs/>
                <w:sz w:val="24"/>
                <w:szCs w:val="24"/>
              </w:rPr>
              <w:t>投标单位需要提供国家认证认可监督委员会批准的第三方机构出具的认证证书</w:t>
            </w:r>
            <w:r>
              <w:rPr>
                <w:rFonts w:hint="eastAsia" w:ascii="宋体" w:hAnsi="宋体" w:cs="宋体"/>
                <w:b/>
                <w:bCs/>
                <w:sz w:val="24"/>
                <w:szCs w:val="24"/>
              </w:rPr>
              <w:t>及有效期内的确认函</w:t>
            </w:r>
            <w:r>
              <w:rPr>
                <w:rFonts w:hint="eastAsia" w:ascii="宋体" w:hAnsi="宋体" w:eastAsia="宋体" w:cs="宋体"/>
                <w:b/>
                <w:bCs/>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台</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cs="宋体"/>
                <w:color w:val="000000" w:themeColor="text1"/>
                <w:sz w:val="24"/>
              </w:rPr>
              <w:t>35</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运动健康数据管理软件</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rPr>
                <w:rFonts w:hint="eastAsia" w:ascii="宋体" w:hAnsi="宋体" w:eastAsia="宋体" w:cs="宋体"/>
                <w:sz w:val="24"/>
                <w:szCs w:val="24"/>
              </w:rPr>
            </w:pPr>
            <w:r>
              <w:rPr>
                <w:rFonts w:hint="eastAsia" w:ascii="宋体" w:hAnsi="宋体" w:eastAsia="宋体" w:cs="宋体"/>
                <w:sz w:val="24"/>
                <w:szCs w:val="24"/>
              </w:rPr>
              <w:t>提供大数据管理分析平台和使用者指导后台，与所有器材相联通，充分收集平台范围内器材使用数据，方便管理者对联通器材使用情况、器材状况、使用人群等情况掌握与分析，方便使用者充分了解各器材所在位置、使用方法、锻炼部位，并有效记录个人使用频次、消耗能量情况，方便个人对比分析，合理调节运动量等。</w:t>
            </w:r>
          </w:p>
          <w:p>
            <w:pPr>
              <w:rPr>
                <w:rFonts w:hint="eastAsia" w:ascii="宋体" w:hAnsi="宋体" w:eastAsia="宋体" w:cs="宋体"/>
                <w:sz w:val="24"/>
                <w:szCs w:val="24"/>
              </w:rPr>
            </w:pPr>
            <w:r>
              <w:rPr>
                <w:rFonts w:hint="eastAsia" w:ascii="宋体" w:hAnsi="宋体" w:eastAsia="宋体" w:cs="宋体"/>
                <w:sz w:val="24"/>
                <w:szCs w:val="24"/>
              </w:rPr>
              <w:t>1、身体能力测试：支持无人化24h身体能力测试（不少于8项功能）。</w:t>
            </w:r>
          </w:p>
          <w:p>
            <w:pPr>
              <w:rPr>
                <w:rFonts w:hint="eastAsia" w:ascii="宋体" w:hAnsi="宋体" w:eastAsia="宋体" w:cs="宋体"/>
                <w:sz w:val="24"/>
                <w:szCs w:val="24"/>
              </w:rPr>
            </w:pPr>
            <w:r>
              <w:rPr>
                <w:rFonts w:hint="eastAsia" w:ascii="宋体" w:hAnsi="宋体" w:eastAsia="宋体" w:cs="宋体"/>
                <w:sz w:val="24"/>
                <w:szCs w:val="24"/>
              </w:rPr>
              <w:t>2、测试评价：结合身体测试分析，给出科学的测试结果及健身科学指导。</w:t>
            </w:r>
          </w:p>
          <w:p>
            <w:pPr>
              <w:rPr>
                <w:rFonts w:hint="eastAsia" w:ascii="宋体" w:hAnsi="宋体" w:eastAsia="宋体" w:cs="宋体"/>
                <w:sz w:val="24"/>
                <w:szCs w:val="24"/>
              </w:rPr>
            </w:pPr>
            <w:r>
              <w:rPr>
                <w:rFonts w:hint="eastAsia" w:ascii="宋体" w:hAnsi="宋体" w:eastAsia="宋体" w:cs="宋体"/>
                <w:sz w:val="24"/>
                <w:szCs w:val="24"/>
              </w:rPr>
              <w:t>3、人机交互：以智能硬件为载体，实现使用者与器材进行信息交换和通信。</w:t>
            </w:r>
          </w:p>
          <w:p>
            <w:pPr>
              <w:rPr>
                <w:rFonts w:hint="eastAsia" w:ascii="宋体" w:hAnsi="宋体" w:eastAsia="宋体" w:cs="宋体"/>
                <w:sz w:val="24"/>
                <w:szCs w:val="24"/>
              </w:rPr>
            </w:pPr>
            <w:r>
              <w:rPr>
                <w:rFonts w:hint="eastAsia" w:ascii="宋体" w:hAnsi="宋体" w:eastAsia="宋体" w:cs="宋体"/>
                <w:sz w:val="24"/>
                <w:szCs w:val="24"/>
              </w:rPr>
              <w:t>4、运动处方：通过云计算分析，结合使用者性别、年龄、体质等信息，提供运动方案、运动指导、饮食建议等形成的“运动处方”。</w:t>
            </w:r>
          </w:p>
          <w:p>
            <w:pPr>
              <w:rPr>
                <w:rFonts w:hint="eastAsia" w:ascii="宋体" w:hAnsi="宋体" w:eastAsia="宋体" w:cs="宋体"/>
                <w:sz w:val="24"/>
                <w:szCs w:val="24"/>
              </w:rPr>
            </w:pPr>
            <w:r>
              <w:rPr>
                <w:rFonts w:hint="eastAsia" w:ascii="宋体" w:hAnsi="宋体" w:eastAsia="宋体" w:cs="宋体"/>
                <w:sz w:val="24"/>
                <w:szCs w:val="24"/>
              </w:rPr>
              <w:t>5、大数据管理分析平台:建立运动用户数据库，对运动用户的性别、年龄、身高、体重、运动情况等数据进行采集分析</w:t>
            </w:r>
            <w:r>
              <w:rPr>
                <w:rFonts w:hint="eastAsia" w:ascii="宋体" w:hAnsi="宋体" w:eastAsia="宋体" w:cs="宋体"/>
                <w:color w:val="000000"/>
                <w:sz w:val="24"/>
                <w:szCs w:val="24"/>
                <w:lang w:bidi="ar"/>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套</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w:t>
            </w:r>
          </w:p>
        </w:tc>
      </w:tr>
      <w:tr>
        <w:tblPrEx>
          <w:tblCellMar>
            <w:top w:w="0" w:type="dxa"/>
            <w:left w:w="10" w:type="dxa"/>
            <w:bottom w:w="0" w:type="dxa"/>
            <w:right w:w="10" w:type="dxa"/>
          </w:tblCellMar>
        </w:tblPrEx>
        <w:tc>
          <w:tcPr>
            <w:tcW w:w="457" w:type="dxa"/>
            <w:tcBorders>
              <w:top w:val="single" w:color="000000" w:sz="0" w:space="0"/>
              <w:left w:val="single" w:color="000000" w:sz="4"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4"/>
                <w:szCs w:val="24"/>
              </w:rPr>
            </w:pPr>
            <w:r>
              <w:rPr>
                <w:rFonts w:hint="eastAsia" w:ascii="宋体" w:hAnsi="宋体" w:cs="宋体"/>
                <w:color w:val="000000" w:themeColor="text1"/>
                <w:sz w:val="24"/>
              </w:rPr>
              <w:t>36</w:t>
            </w:r>
          </w:p>
        </w:tc>
        <w:tc>
          <w:tcPr>
            <w:tcW w:w="65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b/>
                <w:color w:val="000000" w:themeColor="text1"/>
                <w:sz w:val="22"/>
              </w:rPr>
            </w:pPr>
            <w:r>
              <w:rPr>
                <w:rFonts w:hint="eastAsia" w:ascii="宋体" w:hAnsi="宋体" w:eastAsia="宋体" w:cs="宋体"/>
                <w:color w:val="000000" w:themeColor="text1"/>
                <w:sz w:val="22"/>
                <w:lang w:bidi="ar"/>
              </w:rPr>
              <w:t>悬浮式拼装地板</w:t>
            </w:r>
          </w:p>
        </w:tc>
        <w:tc>
          <w:tcPr>
            <w:tcW w:w="6618"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jc w:val="left"/>
              <w:rPr>
                <w:rFonts w:hint="eastAsia" w:ascii="宋体" w:hAnsi="宋体" w:eastAsia="宋体" w:cs="宋体"/>
                <w:sz w:val="24"/>
                <w:szCs w:val="24"/>
              </w:rPr>
            </w:pPr>
            <w:r>
              <w:rPr>
                <w:rFonts w:hint="eastAsia" w:ascii="宋体" w:hAnsi="宋体" w:eastAsia="宋体" w:cs="宋体"/>
                <w:sz w:val="24"/>
                <w:szCs w:val="24"/>
              </w:rPr>
              <w:t>（1）地板规格：≥25*25cm，地板厚度≥1.3cm</w:t>
            </w:r>
          </w:p>
          <w:p>
            <w:pPr>
              <w:jc w:val="left"/>
              <w:rPr>
                <w:rFonts w:hint="eastAsia" w:ascii="宋体" w:hAnsi="宋体" w:eastAsia="宋体" w:cs="宋体"/>
                <w:sz w:val="24"/>
                <w:szCs w:val="24"/>
              </w:rPr>
            </w:pPr>
            <w:r>
              <w:rPr>
                <w:rFonts w:hint="eastAsia" w:ascii="宋体" w:hAnsi="宋体" w:eastAsia="宋体" w:cs="宋体"/>
                <w:sz w:val="24"/>
                <w:szCs w:val="24"/>
              </w:rPr>
              <w:t>（2）冲击强度：≥0.3%</w:t>
            </w:r>
          </w:p>
          <w:p>
            <w:pPr>
              <w:jc w:val="left"/>
              <w:rPr>
                <w:rFonts w:hint="eastAsia" w:ascii="宋体" w:hAnsi="宋体" w:eastAsia="宋体" w:cs="宋体"/>
                <w:sz w:val="24"/>
                <w:szCs w:val="24"/>
              </w:rPr>
            </w:pPr>
            <w:r>
              <w:rPr>
                <w:rFonts w:hint="eastAsia" w:ascii="宋体" w:hAnsi="宋体" w:eastAsia="宋体" w:cs="宋体"/>
                <w:sz w:val="24"/>
                <w:szCs w:val="24"/>
              </w:rPr>
              <w:t>（3）石棉含量：＜0.1%</w:t>
            </w:r>
          </w:p>
          <w:p>
            <w:pPr>
              <w:jc w:val="left"/>
              <w:rPr>
                <w:rFonts w:hint="eastAsia" w:ascii="宋体" w:hAnsi="宋体" w:eastAsia="宋体" w:cs="宋体"/>
                <w:sz w:val="24"/>
                <w:szCs w:val="24"/>
              </w:rPr>
            </w:pPr>
            <w:r>
              <w:rPr>
                <w:rFonts w:hint="eastAsia" w:ascii="宋体" w:hAnsi="宋体" w:eastAsia="宋体" w:cs="宋体"/>
                <w:sz w:val="24"/>
                <w:szCs w:val="24"/>
              </w:rPr>
              <w:t>（4）苯：≤0.1mg/(m².h)</w:t>
            </w:r>
          </w:p>
          <w:p>
            <w:pPr>
              <w:jc w:val="left"/>
              <w:rPr>
                <w:rFonts w:hint="eastAsia" w:ascii="宋体" w:hAnsi="宋体" w:eastAsia="宋体" w:cs="宋体"/>
                <w:sz w:val="24"/>
                <w:szCs w:val="24"/>
              </w:rPr>
            </w:pPr>
            <w:r>
              <w:rPr>
                <w:rFonts w:hint="eastAsia" w:ascii="宋体" w:hAnsi="宋体" w:eastAsia="宋体" w:cs="宋体"/>
                <w:sz w:val="24"/>
                <w:szCs w:val="24"/>
              </w:rPr>
              <w:t>（5）甲苯、二甲苯和乙苯总和：≤1.0mg/(m².h)</w:t>
            </w:r>
          </w:p>
          <w:p>
            <w:pPr>
              <w:jc w:val="left"/>
              <w:rPr>
                <w:rFonts w:hint="eastAsia" w:ascii="宋体" w:hAnsi="宋体" w:eastAsia="宋体" w:cs="宋体"/>
                <w:sz w:val="24"/>
                <w:szCs w:val="24"/>
              </w:rPr>
            </w:pPr>
            <w:r>
              <w:rPr>
                <w:rFonts w:hint="eastAsia" w:ascii="宋体" w:hAnsi="宋体" w:eastAsia="宋体" w:cs="宋体"/>
                <w:sz w:val="24"/>
                <w:szCs w:val="24"/>
              </w:rPr>
              <w:t>（6）苯并[a]芘≤1.0mg /kg</w:t>
            </w:r>
          </w:p>
          <w:p>
            <w:pPr>
              <w:jc w:val="left"/>
              <w:rPr>
                <w:rFonts w:hint="eastAsia" w:ascii="宋体" w:hAnsi="宋体" w:eastAsia="宋体" w:cs="宋体"/>
                <w:sz w:val="24"/>
                <w:szCs w:val="24"/>
              </w:rPr>
            </w:pPr>
            <w:r>
              <w:rPr>
                <w:rFonts w:hint="eastAsia" w:ascii="宋体" w:hAnsi="宋体" w:eastAsia="宋体" w:cs="宋体"/>
                <w:sz w:val="24"/>
                <w:szCs w:val="24"/>
              </w:rPr>
              <w:t>（7）有害物质重金属可溶性铅含量：≤50mg/kg</w:t>
            </w:r>
          </w:p>
          <w:p>
            <w:pPr>
              <w:jc w:val="left"/>
              <w:rPr>
                <w:rFonts w:hint="eastAsia" w:ascii="宋体" w:hAnsi="宋体" w:eastAsia="宋体" w:cs="宋体"/>
                <w:sz w:val="24"/>
                <w:szCs w:val="24"/>
              </w:rPr>
            </w:pPr>
            <w:r>
              <w:rPr>
                <w:rFonts w:hint="eastAsia" w:ascii="宋体" w:hAnsi="宋体" w:eastAsia="宋体" w:cs="宋体"/>
                <w:sz w:val="24"/>
                <w:szCs w:val="24"/>
              </w:rPr>
              <w:t>（8）氙灯老化时长不低于2000h后，样品表面无龟裂、无粉化、无明显变色，灰卡等级：4级</w:t>
            </w:r>
          </w:p>
          <w:p>
            <w:pPr>
              <w:jc w:val="left"/>
              <w:rPr>
                <w:rFonts w:hint="eastAsia" w:ascii="宋体" w:hAnsi="宋体" w:eastAsia="宋体" w:cs="宋体"/>
                <w:sz w:val="24"/>
                <w:szCs w:val="24"/>
              </w:rPr>
            </w:pPr>
            <w:r>
              <w:rPr>
                <w:rFonts w:hint="eastAsia" w:ascii="宋体" w:hAnsi="宋体" w:eastAsia="宋体" w:cs="宋体"/>
                <w:sz w:val="24"/>
                <w:szCs w:val="24"/>
              </w:rPr>
              <w:t>（9）★提供送检日期到签发日期不低于36个月老化试验，符合GB36246-2018标准，垂直变形0.6-3.0mm的具有CMA和CNAS标识的检测报告，须附带全国认证认可信息公共服务平台查询截图</w:t>
            </w:r>
            <w:r>
              <w:rPr>
                <w:rFonts w:hint="eastAsia" w:ascii="宋体" w:hAnsi="宋体" w:cs="宋体"/>
                <w:sz w:val="24"/>
                <w:szCs w:val="24"/>
              </w:rPr>
              <w:t>；</w:t>
            </w:r>
          </w:p>
          <w:p>
            <w:pPr>
              <w:jc w:val="left"/>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sz w:val="24"/>
                <w:szCs w:val="24"/>
              </w:rPr>
              <w:t>★提供送检日期到签发日期不低于100</w:t>
            </w:r>
            <w:r>
              <w:rPr>
                <w:rFonts w:ascii="宋体" w:hAnsi="宋体" w:eastAsia="宋体"/>
                <w:sz w:val="24"/>
                <w:szCs w:val="24"/>
              </w:rPr>
              <w:t>00h</w:t>
            </w:r>
            <w:r>
              <w:rPr>
                <w:rFonts w:hint="eastAsia" w:ascii="宋体" w:hAnsi="宋体" w:eastAsia="宋体"/>
                <w:sz w:val="24"/>
                <w:szCs w:val="24"/>
              </w:rPr>
              <w:t>臭氧老化试验，邵氏硬度依据GB/T531.1-2008检测标准不低于70Shore A</w:t>
            </w:r>
            <w:r>
              <w:rPr>
                <w:rFonts w:ascii="宋体" w:hAnsi="宋体" w:eastAsia="宋体"/>
                <w:sz w:val="24"/>
                <w:szCs w:val="24"/>
              </w:rPr>
              <w:t>的</w:t>
            </w:r>
            <w:r>
              <w:rPr>
                <w:rFonts w:hint="eastAsia" w:ascii="宋体" w:hAnsi="宋体" w:eastAsia="宋体"/>
                <w:sz w:val="24"/>
                <w:szCs w:val="24"/>
              </w:rPr>
              <w:t>具有CMA和CNAS标识的检测报告，须附带全国认证认可信息公共服务平台查询截图</w:t>
            </w:r>
            <w:r>
              <w:rPr>
                <w:rFonts w:hint="eastAsia" w:ascii="宋体" w:hAnsi="宋体"/>
                <w:sz w:val="24"/>
                <w:szCs w:val="24"/>
              </w:rPr>
              <w:t>；</w:t>
            </w:r>
          </w:p>
          <w:p>
            <w:pPr>
              <w:jc w:val="left"/>
              <w:rPr>
                <w:rFonts w:hint="eastAsia" w:ascii="宋体" w:hAnsi="宋体" w:eastAsia="宋体" w:cs="宋体"/>
                <w:sz w:val="24"/>
                <w:szCs w:val="24"/>
              </w:rPr>
            </w:pPr>
            <w:r>
              <w:rPr>
                <w:rFonts w:hint="eastAsia" w:ascii="宋体" w:hAnsi="宋体" w:eastAsia="宋体" w:cs="宋体"/>
                <w:sz w:val="24"/>
                <w:szCs w:val="24"/>
              </w:rPr>
              <w:t>（11）★提供送检日期到签发日期不低于10000h耐酸雨老化试验，球反弹依据GB/T14833-2020检测标准不低于90%的具有CMA和CNAS标识的检测报告，须附带全国认证认可信息公共服务平台查询截图</w:t>
            </w:r>
            <w:r>
              <w:rPr>
                <w:rFonts w:hint="eastAsia" w:ascii="宋体" w:hAnsi="宋体" w:cs="宋体"/>
                <w:sz w:val="24"/>
                <w:szCs w:val="24"/>
              </w:rPr>
              <w:t>；</w:t>
            </w:r>
          </w:p>
          <w:p>
            <w:pPr>
              <w:jc w:val="left"/>
              <w:rPr>
                <w:rFonts w:hint="eastAsia" w:ascii="宋体" w:hAnsi="宋体" w:eastAsia="宋体" w:cs="宋体"/>
                <w:sz w:val="24"/>
                <w:szCs w:val="24"/>
              </w:rPr>
            </w:pPr>
            <w:r>
              <w:rPr>
                <w:rFonts w:hint="eastAsia" w:ascii="宋体" w:hAnsi="宋体" w:eastAsia="宋体" w:cs="宋体"/>
                <w:sz w:val="24"/>
                <w:szCs w:val="24"/>
              </w:rPr>
              <w:t>（12）★供送检日期到签发日期不低于6500h中性盐雾试验，拉伸强度不低于0.5MPa；断裂伸长率不低于40%的具有CMA标识的检测报告，须附带全国认证认可信息公共服务平台查询截图</w:t>
            </w:r>
            <w:r>
              <w:rPr>
                <w:rFonts w:hint="eastAsia" w:ascii="宋体" w:hAnsi="宋体" w:cs="宋体"/>
                <w:sz w:val="24"/>
                <w:szCs w:val="24"/>
              </w:rPr>
              <w:t>。</w:t>
            </w:r>
          </w:p>
        </w:tc>
        <w:tc>
          <w:tcPr>
            <w:tcW w:w="696"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w:t>
            </w:r>
          </w:p>
        </w:tc>
        <w:tc>
          <w:tcPr>
            <w:tcW w:w="505" w:type="dxa"/>
            <w:tcBorders>
              <w:top w:val="single" w:color="000000" w:sz="0" w:space="0"/>
              <w:left w:val="single" w:color="000000" w:sz="0" w:space="0"/>
              <w:bottom w:val="single" w:color="000000" w:sz="0" w:space="0"/>
              <w:right w:val="single" w:color="000000" w:sz="4" w:space="0"/>
            </w:tcBorders>
            <w:tcMar>
              <w:left w:w="108" w:type="dxa"/>
              <w:right w:w="108" w:type="dxa"/>
            </w:tcMar>
            <w:vAlign w:val="center"/>
          </w:tcPr>
          <w:p>
            <w:pPr>
              <w:widowControl/>
              <w:jc w:val="center"/>
              <w:textAlignment w:val="center"/>
              <w:rPr>
                <w:rFonts w:hint="eastAsia" w:ascii="宋体" w:hAnsi="宋体" w:eastAsia="宋体" w:cs="宋体"/>
                <w:color w:val="000000" w:themeColor="text1"/>
                <w:sz w:val="22"/>
                <w:lang w:bidi="ar"/>
              </w:rPr>
            </w:pPr>
            <w:r>
              <w:rPr>
                <w:rFonts w:hint="eastAsia" w:ascii="宋体" w:hAnsi="宋体" w:eastAsia="宋体" w:cs="宋体"/>
                <w:color w:val="000000" w:themeColor="text1"/>
                <w:sz w:val="22"/>
                <w:lang w:bidi="ar"/>
              </w:rPr>
              <w:t>160</w:t>
            </w:r>
          </w:p>
        </w:tc>
      </w:tr>
    </w:tbl>
    <w:p>
      <w:pPr>
        <w:spacing w:line="480" w:lineRule="auto"/>
        <w:ind w:left="350"/>
        <w:rPr>
          <w:rFonts w:hint="eastAsia" w:ascii="宋体" w:hAnsi="宋体" w:eastAsia="宋体" w:cs="宋体"/>
          <w:sz w:val="24"/>
        </w:rPr>
      </w:pPr>
      <w:r>
        <w:rPr>
          <w:rFonts w:ascii="宋体" w:hAnsi="宋体" w:eastAsia="宋体" w:cs="宋体"/>
          <w:sz w:val="24"/>
        </w:rPr>
        <w:t>2、售后服务内容及要求：</w:t>
      </w:r>
    </w:p>
    <w:p>
      <w:pPr>
        <w:spacing w:line="420" w:lineRule="auto"/>
        <w:ind w:firstLine="480"/>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pPr>
        <w:spacing w:line="420" w:lineRule="auto"/>
        <w:ind w:firstLine="480"/>
        <w:rPr>
          <w:rFonts w:hint="eastAsia" w:ascii="宋体" w:hAnsi="宋体" w:eastAsia="宋体" w:cs="宋体"/>
          <w:sz w:val="24"/>
        </w:rPr>
      </w:pPr>
      <w:r>
        <w:rPr>
          <w:rFonts w:hint="eastAsia" w:ascii="宋体" w:hAnsi="宋体" w:eastAsia="宋体" w:cs="宋体"/>
          <w:sz w:val="24"/>
        </w:rPr>
        <w:t>2.2质量要求：符合现行国家及行业合格标准。</w:t>
      </w:r>
    </w:p>
    <w:p>
      <w:pPr>
        <w:spacing w:line="420" w:lineRule="auto"/>
        <w:ind w:firstLine="480"/>
        <w:rPr>
          <w:rFonts w:hint="eastAsia" w:ascii="宋体" w:hAnsi="宋体" w:eastAsia="宋体" w:cs="宋体"/>
          <w:color w:val="000000" w:themeColor="text1"/>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w:t>
      </w:r>
      <w:r>
        <w:rPr>
          <w:rFonts w:ascii="宋体" w:hAnsi="宋体" w:eastAsia="宋体" w:cs="宋体"/>
          <w:color w:val="000000" w:themeColor="text1"/>
          <w:sz w:val="24"/>
        </w:rPr>
        <w:t>服务：免费质保</w:t>
      </w:r>
      <w:r>
        <w:rPr>
          <w:rFonts w:hint="eastAsia" w:ascii="Times New Roman" w:hAnsi="Times New Roman" w:cs="Times New Roman"/>
          <w:color w:val="000000" w:themeColor="text1"/>
          <w:shd w:val="clear" w:color="auto" w:fill="FFFFFF"/>
        </w:rPr>
        <w:t>3</w:t>
      </w:r>
      <w:r>
        <w:rPr>
          <w:rFonts w:ascii="宋体" w:hAnsi="宋体" w:eastAsia="宋体" w:cs="宋体"/>
          <w:color w:val="000000" w:themeColor="text1"/>
          <w:sz w:val="24"/>
        </w:rPr>
        <w:t>年,在接到采购方服务请求后，</w:t>
      </w:r>
      <w:r>
        <w:rPr>
          <w:rFonts w:hint="eastAsia" w:ascii="Times New Roman" w:hAnsi="Times New Roman" w:cs="Times New Roman"/>
          <w:color w:val="000000" w:themeColor="text1"/>
          <w:shd w:val="clear" w:color="auto" w:fill="FFFFFF"/>
        </w:rPr>
        <w:t>1</w:t>
      </w:r>
      <w:r>
        <w:rPr>
          <w:rFonts w:ascii="宋体" w:hAnsi="宋体" w:eastAsia="宋体" w:cs="宋体"/>
          <w:color w:val="000000" w:themeColor="text1"/>
          <w:sz w:val="24"/>
        </w:rPr>
        <w:t>小时响应，</w:t>
      </w:r>
      <w:r>
        <w:rPr>
          <w:rFonts w:hint="eastAsia" w:ascii="Times New Roman" w:hAnsi="Times New Roman" w:cs="Times New Roman"/>
          <w:color w:val="000000" w:themeColor="text1"/>
          <w:shd w:val="clear" w:color="auto" w:fill="FFFFFF"/>
        </w:rPr>
        <w:t>2</w:t>
      </w:r>
      <w:r>
        <w:rPr>
          <w:rFonts w:ascii="宋体" w:hAnsi="宋体" w:eastAsia="宋体" w:cs="宋体"/>
          <w:color w:val="000000" w:themeColor="text1"/>
          <w:sz w:val="24"/>
        </w:rPr>
        <w:t>小时内上门解决问题；质保期内提供免费上门服务，质保期外的收费按相关行业规则或由双方协商收取。</w:t>
      </w:r>
    </w:p>
    <w:p>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pPr>
        <w:spacing w:line="420" w:lineRule="auto"/>
        <w:ind w:firstLine="480"/>
        <w:rPr>
          <w:rFonts w:hint="eastAsia" w:ascii="宋体" w:hAnsi="宋体" w:eastAsia="宋体" w:cs="宋体"/>
          <w:color w:val="000000" w:themeColor="text1"/>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w:t>
      </w:r>
      <w:r>
        <w:rPr>
          <w:rFonts w:ascii="宋体" w:hAnsi="宋体" w:eastAsia="宋体" w:cs="宋体"/>
          <w:color w:val="000000" w:themeColor="text1"/>
          <w:sz w:val="24"/>
        </w:rPr>
        <w:t>双方签订合同后</w:t>
      </w:r>
      <w:r>
        <w:rPr>
          <w:rFonts w:hint="eastAsia" w:ascii="宋体" w:hAnsi="宋体" w:eastAsia="宋体" w:cs="宋体"/>
          <w:color w:val="000000" w:themeColor="text1"/>
          <w:sz w:val="24"/>
        </w:rPr>
        <w:t>30</w:t>
      </w:r>
      <w:r>
        <w:rPr>
          <w:rFonts w:ascii="宋体" w:hAnsi="宋体" w:eastAsia="宋体" w:cs="宋体"/>
          <w:color w:val="000000" w:themeColor="text1"/>
          <w:sz w:val="24"/>
        </w:rPr>
        <w:t>日内。</w:t>
      </w:r>
    </w:p>
    <w:p>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pPr>
        <w:spacing w:after="120" w:line="415" w:lineRule="auto"/>
        <w:ind w:firstLine="480"/>
        <w:jc w:val="center"/>
        <w:rPr>
          <w:rFonts w:hint="eastAsia" w:ascii="宋体" w:hAnsi="宋体" w:eastAsia="宋体" w:cs="宋体"/>
          <w:sz w:val="24"/>
        </w:rPr>
      </w:pPr>
    </w:p>
    <w:p>
      <w:pPr>
        <w:ind w:firstLine="240"/>
        <w:jc w:val="left"/>
        <w:rPr>
          <w:rFonts w:hint="eastAsia" w:ascii="宋体" w:hAnsi="宋体" w:eastAsia="宋体" w:cs="宋体"/>
          <w:sz w:val="24"/>
        </w:rPr>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spacing w:line="480" w:lineRule="auto"/>
        <w:jc w:val="center"/>
        <w:rPr>
          <w:rFonts w:hint="eastAsia" w:ascii="宋体" w:hAnsi="宋体" w:eastAsia="宋体" w:cs="宋体"/>
          <w:b/>
          <w:bCs/>
          <w:sz w:val="24"/>
        </w:rPr>
      </w:pPr>
      <w:r>
        <w:rPr>
          <w:rFonts w:ascii="宋体" w:hAnsi="宋体" w:eastAsia="宋体" w:cs="宋体"/>
          <w:b/>
          <w:bCs/>
          <w:sz w:val="24"/>
        </w:rPr>
        <w:br w:type="page"/>
      </w:r>
      <w:r>
        <w:rPr>
          <w:rFonts w:ascii="宋体" w:hAnsi="宋体" w:eastAsia="宋体" w:cs="宋体"/>
          <w:b/>
          <w:bCs/>
          <w:sz w:val="24"/>
        </w:rPr>
        <w:t>第四章  响应性文件内容及格式</w:t>
      </w:r>
    </w:p>
    <w:p>
      <w:pPr>
        <w:spacing w:line="520" w:lineRule="auto"/>
        <w:ind w:firstLine="480"/>
        <w:jc w:val="center"/>
        <w:rPr>
          <w:rFonts w:hint="eastAsia" w:ascii="宋体" w:hAnsi="宋体" w:eastAsia="宋体" w:cs="宋体"/>
          <w:sz w:val="24"/>
        </w:rPr>
      </w:pPr>
    </w:p>
    <w:p>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rPr>
        <w:t>和</w:t>
      </w:r>
      <w:r>
        <w:rPr>
          <w:rFonts w:ascii="宋体" w:hAnsi="宋体" w:eastAsia="宋体" w:cs="宋体"/>
          <w:sz w:val="24"/>
        </w:rPr>
        <w:t>页码及</w:t>
      </w:r>
      <w:r>
        <w:rPr>
          <w:rFonts w:hint="eastAsia" w:ascii="宋体" w:hAnsi="宋体" w:eastAsia="宋体" w:cs="宋体"/>
          <w:sz w:val="24"/>
        </w:rPr>
        <w:t>总页码</w:t>
      </w:r>
      <w:r>
        <w:rPr>
          <w:rFonts w:ascii="宋体" w:hAnsi="宋体" w:eastAsia="宋体" w:cs="宋体"/>
          <w:sz w:val="24"/>
        </w:rPr>
        <w:t xml:space="preserve">，否则可能将影响对响应性文件的评价。 </w:t>
      </w:r>
    </w:p>
    <w:p>
      <w:pPr>
        <w:spacing w:line="560" w:lineRule="auto"/>
        <w:ind w:firstLine="480"/>
        <w:rPr>
          <w:rFonts w:hint="eastAsia" w:ascii="宋体" w:hAnsi="宋体" w:eastAsia="宋体" w:cs="宋体"/>
          <w:sz w:val="24"/>
        </w:rPr>
      </w:pPr>
      <w:r>
        <w:rPr>
          <w:rFonts w:ascii="宋体" w:hAnsi="宋体" w:eastAsia="宋体" w:cs="宋体"/>
          <w:sz w:val="24"/>
        </w:rPr>
        <w:t xml:space="preserve"> </w:t>
      </w:r>
    </w:p>
    <w:p>
      <w:pPr>
        <w:spacing w:line="560" w:lineRule="auto"/>
        <w:ind w:firstLine="482"/>
        <w:rPr>
          <w:rFonts w:hint="eastAsia" w:ascii="宋体" w:hAnsi="宋体" w:eastAsia="宋体" w:cs="宋体"/>
          <w:b/>
          <w:sz w:val="24"/>
        </w:rPr>
      </w:pPr>
      <w:r>
        <w:rPr>
          <w:rFonts w:ascii="宋体" w:hAnsi="宋体" w:eastAsia="宋体" w:cs="宋体"/>
          <w:b/>
          <w:sz w:val="24"/>
        </w:rPr>
        <w:t>重要提示：</w:t>
      </w:r>
    </w:p>
    <w:p>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tabs>
          <w:tab w:val="left" w:pos="0"/>
          <w:tab w:val="left" w:pos="993"/>
          <w:tab w:val="left" w:pos="1134"/>
        </w:tabs>
        <w:ind w:firstLine="480"/>
        <w:rPr>
          <w:rFonts w:hint="eastAsia" w:ascii="宋体" w:hAnsi="宋体" w:eastAsia="宋体" w:cs="宋体"/>
          <w:sz w:val="24"/>
        </w:rPr>
      </w:pPr>
    </w:p>
    <w:p>
      <w:pPr>
        <w:tabs>
          <w:tab w:val="left" w:pos="0"/>
          <w:tab w:val="left" w:pos="993"/>
          <w:tab w:val="left" w:pos="1134"/>
        </w:tabs>
        <w:ind w:firstLine="480"/>
        <w:rPr>
          <w:rFonts w:hint="eastAsia" w:ascii="宋体" w:hAnsi="宋体" w:eastAsia="宋体" w:cs="宋体"/>
          <w:sz w:val="24"/>
        </w:rPr>
      </w:pPr>
    </w:p>
    <w:p>
      <w:pPr>
        <w:tabs>
          <w:tab w:val="left" w:pos="0"/>
          <w:tab w:val="left" w:pos="993"/>
          <w:tab w:val="left" w:pos="1134"/>
        </w:tabs>
        <w:ind w:firstLine="480"/>
        <w:rPr>
          <w:rFonts w:hint="eastAsia" w:ascii="宋体" w:hAnsi="宋体" w:eastAsia="宋体" w:cs="宋体"/>
          <w:sz w:val="24"/>
        </w:rPr>
      </w:pPr>
    </w:p>
    <w:p>
      <w:pPr>
        <w:tabs>
          <w:tab w:val="left" w:pos="0"/>
          <w:tab w:val="left" w:pos="993"/>
          <w:tab w:val="left" w:pos="1134"/>
        </w:tabs>
        <w:ind w:firstLine="480"/>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r>
        <w:rPr>
          <w:rFonts w:ascii="宋体" w:hAnsi="宋体" w:eastAsia="宋体" w:cs="宋体"/>
          <w:sz w:val="24"/>
        </w:rPr>
        <w:t>格式2-1</w:t>
      </w:r>
    </w:p>
    <w:p>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pPr>
        <w:spacing w:line="360" w:lineRule="auto"/>
        <w:ind w:firstLine="480"/>
        <w:rPr>
          <w:rFonts w:hint="eastAsia" w:ascii="宋体" w:hAnsi="宋体" w:eastAsia="宋体" w:cs="宋体"/>
          <w:sz w:val="24"/>
        </w:rPr>
      </w:pPr>
    </w:p>
    <w:p>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pPr>
        <w:spacing w:line="360" w:lineRule="auto"/>
        <w:rPr>
          <w:rFonts w:hint="eastAsia" w:ascii="宋体" w:hAnsi="宋体" w:eastAsia="宋体" w:cs="宋体"/>
          <w:sz w:val="24"/>
        </w:rPr>
      </w:pPr>
      <w:r>
        <w:rPr>
          <w:rFonts w:ascii="宋体" w:hAnsi="宋体" w:eastAsia="宋体" w:cs="宋体"/>
          <w:sz w:val="24"/>
        </w:rPr>
        <w:t>职务。</w:t>
      </w:r>
    </w:p>
    <w:p>
      <w:pPr>
        <w:spacing w:line="360" w:lineRule="auto"/>
        <w:ind w:firstLine="480"/>
        <w:rPr>
          <w:rFonts w:hint="eastAsia" w:ascii="宋体" w:hAnsi="宋体" w:eastAsia="宋体" w:cs="宋体"/>
          <w:sz w:val="24"/>
        </w:rPr>
      </w:pPr>
      <w:r>
        <w:rPr>
          <w:rFonts w:ascii="宋体" w:hAnsi="宋体" w:eastAsia="宋体" w:cs="宋体"/>
          <w:sz w:val="24"/>
        </w:rPr>
        <w:t>特此证明。</w:t>
      </w:r>
    </w:p>
    <w:p>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9"/>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hint="eastAsia" w:ascii="宋体" w:hAnsi="宋体" w:eastAsia="宋体" w:cs="宋体"/>
                <w:b/>
                <w:sz w:val="24"/>
              </w:rPr>
            </w:pPr>
          </w:p>
          <w:p>
            <w:pPr>
              <w:spacing w:line="480" w:lineRule="auto"/>
              <w:rPr>
                <w:rFonts w:hint="eastAsia" w:ascii="宋体" w:hAnsi="宋体" w:eastAsia="宋体" w:cs="宋体"/>
                <w:b/>
                <w:sz w:val="24"/>
              </w:rPr>
            </w:pPr>
          </w:p>
          <w:p>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pPr>
              <w:spacing w:line="480" w:lineRule="auto"/>
              <w:rPr>
                <w:rFonts w:hint="eastAsia" w:ascii="宋体" w:hAnsi="宋体" w:eastAsia="宋体" w:cs="宋体"/>
                <w:sz w:val="24"/>
              </w:rPr>
            </w:pPr>
          </w:p>
          <w:p>
            <w:pPr>
              <w:spacing w:line="480" w:lineRule="auto"/>
              <w:rPr>
                <w:rFonts w:hint="eastAsia" w:ascii="宋体" w:hAnsi="宋体" w:eastAsia="宋体" w:cs="宋体"/>
              </w:rPr>
            </w:pPr>
          </w:p>
        </w:tc>
      </w:tr>
    </w:tbl>
    <w:p>
      <w:pPr>
        <w:spacing w:line="360" w:lineRule="auto"/>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spacing w:line="360" w:lineRule="auto"/>
        <w:jc w:val="left"/>
        <w:rPr>
          <w:rFonts w:hint="eastAsia" w:ascii="宋体" w:hAnsi="宋体" w:eastAsia="宋体" w:cs="宋体"/>
          <w:sz w:val="24"/>
        </w:rPr>
      </w:pPr>
      <w:r>
        <w:rPr>
          <w:rFonts w:ascii="宋体" w:hAnsi="宋体" w:eastAsia="宋体" w:cs="宋体"/>
          <w:sz w:val="24"/>
        </w:rPr>
        <w:t>格式2-2</w:t>
      </w:r>
    </w:p>
    <w:p>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pPr>
        <w:spacing w:line="360" w:lineRule="auto"/>
        <w:ind w:firstLine="480"/>
        <w:rPr>
          <w:rFonts w:hint="eastAsia" w:ascii="宋体" w:hAnsi="宋体" w:eastAsia="宋体" w:cs="宋体"/>
          <w:sz w:val="24"/>
        </w:rPr>
      </w:pPr>
    </w:p>
    <w:p>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pPr>
        <w:spacing w:line="360" w:lineRule="auto"/>
        <w:rPr>
          <w:rFonts w:hint="eastAsia" w:ascii="宋体" w:hAnsi="宋体" w:eastAsia="宋体" w:cs="宋体"/>
          <w:sz w:val="24"/>
        </w:rPr>
      </w:pPr>
    </w:p>
    <w:p>
      <w:pPr>
        <w:spacing w:line="360" w:lineRule="auto"/>
        <w:ind w:firstLine="480"/>
        <w:rPr>
          <w:rFonts w:hint="eastAsia" w:ascii="宋体" w:hAnsi="宋体" w:eastAsia="宋体" w:cs="宋体"/>
          <w:sz w:val="24"/>
        </w:rPr>
      </w:pPr>
      <w:r>
        <w:rPr>
          <w:rFonts w:ascii="宋体" w:hAnsi="宋体" w:eastAsia="宋体" w:cs="宋体"/>
          <w:sz w:val="24"/>
        </w:rPr>
        <w:t>委托人：</w:t>
      </w:r>
    </w:p>
    <w:p>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pPr>
        <w:spacing w:line="360" w:lineRule="auto"/>
        <w:ind w:firstLine="480"/>
        <w:rPr>
          <w:rFonts w:hint="eastAsia" w:ascii="宋体" w:hAnsi="宋体" w:eastAsia="宋体" w:cs="宋体"/>
          <w:sz w:val="24"/>
        </w:rPr>
      </w:pPr>
      <w:r>
        <w:rPr>
          <w:rFonts w:ascii="宋体" w:hAnsi="宋体" w:eastAsia="宋体" w:cs="宋体"/>
          <w:sz w:val="24"/>
        </w:rPr>
        <w:t>被委托人：</w:t>
      </w:r>
    </w:p>
    <w:p>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9"/>
        <w:tblW w:w="0" w:type="auto"/>
        <w:tblInd w:w="0" w:type="dxa"/>
        <w:tblLayout w:type="autofit"/>
        <w:tblCellMar>
          <w:top w:w="0" w:type="dxa"/>
          <w:left w:w="10" w:type="dxa"/>
          <w:bottom w:w="0" w:type="dxa"/>
          <w:right w:w="10" w:type="dxa"/>
        </w:tblCellMar>
      </w:tblPr>
      <w:tblGrid>
        <w:gridCol w:w="5508"/>
      </w:tblGrid>
      <w:t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hint="eastAsia" w:ascii="宋体" w:hAnsi="宋体" w:eastAsia="宋体" w:cs="宋体"/>
                <w:b/>
                <w:sz w:val="24"/>
              </w:rPr>
            </w:pPr>
          </w:p>
          <w:p>
            <w:pPr>
              <w:spacing w:line="480" w:lineRule="auto"/>
              <w:rPr>
                <w:rFonts w:hint="eastAsia" w:ascii="宋体" w:hAnsi="宋体" w:eastAsia="宋体" w:cs="宋体"/>
                <w:b/>
                <w:sz w:val="24"/>
              </w:rPr>
            </w:pPr>
          </w:p>
          <w:p>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pPr>
        <w:spacing w:line="360" w:lineRule="auto"/>
        <w:ind w:firstLine="480"/>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pPr>
        <w:spacing w:line="360" w:lineRule="auto"/>
        <w:jc w:val="center"/>
        <w:rPr>
          <w:rFonts w:hint="eastAsia" w:ascii="宋体" w:hAnsi="宋体" w:eastAsia="宋体" w:cs="宋体"/>
          <w:sz w:val="24"/>
        </w:rPr>
      </w:pPr>
    </w:p>
    <w:p>
      <w:pPr>
        <w:ind w:firstLine="240"/>
        <w:jc w:val="left"/>
        <w:rPr>
          <w:rFonts w:hint="eastAsia" w:ascii="宋体" w:hAnsi="宋体" w:eastAsia="宋体" w:cs="宋体"/>
          <w:sz w:val="24"/>
        </w:rPr>
      </w:pPr>
    </w:p>
    <w:p>
      <w:pPr>
        <w:spacing w:line="360" w:lineRule="auto"/>
        <w:jc w:val="left"/>
        <w:rPr>
          <w:rFonts w:hint="eastAsia" w:ascii="宋体" w:hAnsi="宋体" w:eastAsia="宋体" w:cs="宋体"/>
          <w:sz w:val="24"/>
        </w:rPr>
      </w:pPr>
      <w:r>
        <w:rPr>
          <w:rFonts w:ascii="宋体" w:hAnsi="宋体" w:eastAsia="宋体" w:cs="宋体"/>
          <w:sz w:val="24"/>
        </w:rPr>
        <w:t>格式2-3</w:t>
      </w:r>
    </w:p>
    <w:p>
      <w:pPr>
        <w:ind w:firstLine="240"/>
        <w:jc w:val="left"/>
        <w:rPr>
          <w:rFonts w:hint="eastAsia" w:ascii="宋体" w:hAnsi="宋体" w:eastAsia="宋体" w:cs="宋体"/>
          <w:sz w:val="24"/>
        </w:rPr>
      </w:pPr>
      <w:r>
        <w:rPr>
          <w:rFonts w:ascii="宋体" w:hAnsi="宋体" w:eastAsia="宋体" w:cs="宋体"/>
          <w:sz w:val="24"/>
        </w:rPr>
        <w:t>供应商资格其他资料</w:t>
      </w:r>
    </w:p>
    <w:p>
      <w:pPr>
        <w:ind w:firstLine="240"/>
        <w:jc w:val="left"/>
        <w:rPr>
          <w:rFonts w:hint="eastAsia" w:ascii="宋体" w:hAnsi="宋体" w:eastAsia="宋体" w:cs="宋体"/>
          <w:sz w:val="24"/>
        </w:rPr>
      </w:pPr>
    </w:p>
    <w:p>
      <w:pPr>
        <w:ind w:firstLine="240"/>
        <w:jc w:val="left"/>
        <w:rPr>
          <w:rFonts w:hint="eastAsia" w:ascii="宋体" w:hAnsi="宋体" w:eastAsia="宋体" w:cs="宋体"/>
          <w:sz w:val="24"/>
        </w:rPr>
      </w:pPr>
    </w:p>
    <w:p>
      <w:pPr>
        <w:ind w:firstLine="240"/>
        <w:jc w:val="left"/>
        <w:rPr>
          <w:rFonts w:hint="eastAsia" w:ascii="宋体" w:hAnsi="宋体" w:eastAsia="宋体" w:cs="宋体"/>
          <w:sz w:val="24"/>
        </w:rPr>
      </w:pPr>
    </w:p>
    <w:p>
      <w:pPr>
        <w:ind w:firstLine="240"/>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r>
        <w:rPr>
          <w:rFonts w:ascii="宋体" w:hAnsi="宋体" w:eastAsia="宋体" w:cs="宋体"/>
          <w:sz w:val="24"/>
        </w:rPr>
        <w:t>格式3</w:t>
      </w:r>
    </w:p>
    <w:p>
      <w:pPr>
        <w:spacing w:line="560" w:lineRule="auto"/>
        <w:jc w:val="center"/>
        <w:rPr>
          <w:rFonts w:hint="eastAsia" w:ascii="宋体" w:hAnsi="宋体" w:eastAsia="宋体" w:cs="宋体"/>
          <w:sz w:val="24"/>
        </w:rPr>
      </w:pPr>
      <w:r>
        <w:rPr>
          <w:rFonts w:ascii="宋体" w:hAnsi="宋体" w:eastAsia="宋体" w:cs="宋体"/>
          <w:sz w:val="24"/>
        </w:rPr>
        <w:t>投标函</w:t>
      </w:r>
    </w:p>
    <w:p>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pPr>
        <w:rPr>
          <w:rFonts w:hint="eastAsia" w:ascii="宋体" w:hAnsi="宋体" w:eastAsia="宋体" w:cs="宋体"/>
          <w:sz w:val="24"/>
        </w:rPr>
      </w:pPr>
    </w:p>
    <w:p>
      <w:pPr>
        <w:ind w:firstLine="600"/>
        <w:rPr>
          <w:rFonts w:hint="eastAsia" w:ascii="宋体" w:hAnsi="宋体" w:eastAsia="宋体" w:cs="宋体"/>
          <w:sz w:val="24"/>
        </w:rPr>
      </w:pPr>
      <w:r>
        <w:rPr>
          <w:rFonts w:hint="eastAsia" w:ascii="宋体" w:hAnsi="宋体"/>
          <w:sz w:val="24"/>
          <w:szCs w:val="24"/>
        </w:rPr>
        <w:t>根据贵方</w:t>
      </w:r>
      <w:r>
        <w:rPr>
          <w:rFonts w:hint="eastAsia" w:ascii="宋体" w:hAnsi="宋体"/>
          <w:sz w:val="24"/>
          <w:szCs w:val="24"/>
          <w:u w:val="single"/>
        </w:rPr>
        <w:t xml:space="preserve">     （本项目名称）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p>
    <w:p>
      <w:pPr>
        <w:ind w:firstLine="568"/>
        <w:rPr>
          <w:rFonts w:hint="eastAsia" w:ascii="宋体" w:hAnsi="宋体" w:eastAsia="宋体" w:cs="宋体"/>
          <w:sz w:val="24"/>
        </w:rPr>
      </w:pPr>
      <w:r>
        <w:rPr>
          <w:rFonts w:ascii="宋体" w:hAnsi="宋体" w:eastAsia="宋体" w:cs="宋体"/>
          <w:sz w:val="24"/>
        </w:rPr>
        <w:t>据此函，宣布同意如下：</w:t>
      </w:r>
    </w:p>
    <w:p>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pPr>
        <w:ind w:firstLine="480"/>
        <w:rPr>
          <w:rFonts w:hint="eastAsia" w:ascii="宋体" w:hAnsi="宋体" w:eastAsia="宋体" w:cs="宋体"/>
          <w:sz w:val="24"/>
        </w:rPr>
      </w:pPr>
      <w:r>
        <w:rPr>
          <w:rFonts w:ascii="宋体" w:hAnsi="宋体" w:eastAsia="宋体" w:cs="宋体"/>
          <w:sz w:val="24"/>
        </w:rPr>
        <w:t>(6)与本次竞争性磋商有关的正式通讯地址为：</w:t>
      </w:r>
    </w:p>
    <w:p>
      <w:pPr>
        <w:ind w:firstLine="480"/>
        <w:rPr>
          <w:rFonts w:hint="eastAsia" w:ascii="宋体" w:hAnsi="宋体" w:eastAsia="宋体" w:cs="宋体"/>
          <w:sz w:val="24"/>
        </w:rPr>
      </w:pPr>
      <w:r>
        <w:rPr>
          <w:rFonts w:ascii="宋体" w:hAnsi="宋体" w:eastAsia="宋体" w:cs="宋体"/>
          <w:sz w:val="24"/>
        </w:rPr>
        <w:t>地 址：                  邮 编：</w:t>
      </w:r>
    </w:p>
    <w:p>
      <w:pPr>
        <w:ind w:firstLine="480"/>
        <w:rPr>
          <w:rFonts w:hint="eastAsia" w:ascii="宋体" w:hAnsi="宋体" w:eastAsia="宋体" w:cs="宋体"/>
          <w:sz w:val="24"/>
        </w:rPr>
      </w:pPr>
      <w:r>
        <w:rPr>
          <w:rFonts w:ascii="宋体" w:hAnsi="宋体" w:eastAsia="宋体" w:cs="宋体"/>
          <w:sz w:val="24"/>
        </w:rPr>
        <w:t>电 话：                  传 真：</w:t>
      </w:r>
    </w:p>
    <w:p>
      <w:pPr>
        <w:ind w:firstLine="480"/>
        <w:jc w:val="left"/>
        <w:rPr>
          <w:rFonts w:hint="eastAsia" w:ascii="宋体" w:hAnsi="宋体" w:eastAsia="宋体" w:cs="宋体"/>
          <w:sz w:val="24"/>
        </w:rPr>
      </w:pPr>
      <w:r>
        <w:rPr>
          <w:rFonts w:ascii="宋体" w:hAnsi="宋体" w:eastAsia="宋体" w:cs="宋体"/>
          <w:sz w:val="24"/>
        </w:rPr>
        <w:t>我们保证：</w:t>
      </w:r>
    </w:p>
    <w:p>
      <w:pPr>
        <w:ind w:firstLine="480"/>
        <w:jc w:val="left"/>
        <w:rPr>
          <w:rFonts w:hint="eastAsia" w:ascii="宋体" w:hAnsi="宋体" w:eastAsia="宋体" w:cs="宋体"/>
          <w:sz w:val="24"/>
        </w:rPr>
      </w:pPr>
      <w:r>
        <w:rPr>
          <w:rFonts w:ascii="宋体" w:hAnsi="宋体" w:eastAsia="宋体" w:cs="宋体"/>
          <w:sz w:val="24"/>
        </w:rPr>
        <w:t>(1)不提供虚假材料谋取成交；</w:t>
      </w:r>
    </w:p>
    <w:p>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pPr>
        <w:spacing w:line="360" w:lineRule="auto"/>
        <w:jc w:val="center"/>
        <w:rPr>
          <w:rFonts w:hint="eastAsia" w:ascii="宋体" w:hAnsi="宋体" w:eastAsia="宋体" w:cs="宋体"/>
          <w:sz w:val="24"/>
        </w:rPr>
      </w:pPr>
      <w:r>
        <w:rPr>
          <w:rFonts w:ascii="宋体" w:hAnsi="宋体" w:eastAsia="宋体" w:cs="宋体"/>
          <w:sz w:val="24"/>
        </w:rPr>
        <w:t xml:space="preserve"> </w:t>
      </w: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r>
        <w:rPr>
          <w:rFonts w:ascii="宋体" w:hAnsi="宋体" w:eastAsia="宋体" w:cs="宋体"/>
          <w:sz w:val="24"/>
        </w:rPr>
        <w:t>格式4</w:t>
      </w:r>
    </w:p>
    <w:p>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9"/>
        <w:tblW w:w="0" w:type="auto"/>
        <w:jc w:val="center"/>
        <w:tblLayout w:type="autofit"/>
        <w:tblCellMar>
          <w:top w:w="0" w:type="dxa"/>
          <w:left w:w="10" w:type="dxa"/>
          <w:bottom w:w="0" w:type="dxa"/>
          <w:right w:w="10" w:type="dxa"/>
        </w:tblCellMar>
      </w:tblPr>
      <w:tblGrid>
        <w:gridCol w:w="2368"/>
        <w:gridCol w:w="6154"/>
      </w:tblGrid>
      <w:tr>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hint="eastAsia" w:ascii="宋体" w:hAnsi="宋体" w:eastAsia="宋体" w:cs="宋体"/>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sz w:val="24"/>
              </w:rPr>
            </w:pPr>
            <w:r>
              <w:rPr>
                <w:rFonts w:ascii="宋体" w:hAnsi="宋体" w:eastAsia="宋体" w:cs="宋体"/>
                <w:sz w:val="24"/>
              </w:rPr>
              <w:t>最终投标报价（包：）</w:t>
            </w:r>
          </w:p>
          <w:p>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left"/>
              <w:rPr>
                <w:rFonts w:hint="eastAsia" w:ascii="宋体" w:hAnsi="宋体" w:eastAsia="宋体" w:cs="宋体"/>
                <w:sz w:val="22"/>
              </w:rPr>
            </w:pPr>
          </w:p>
        </w:tc>
      </w:tr>
    </w:tbl>
    <w:p>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pPr>
        <w:spacing w:line="360" w:lineRule="auto"/>
        <w:rPr>
          <w:rFonts w:hint="eastAsia" w:ascii="宋体" w:hAnsi="宋体" w:eastAsia="宋体" w:cs="宋体"/>
          <w:sz w:val="24"/>
        </w:rPr>
      </w:pPr>
      <w:r>
        <w:rPr>
          <w:rFonts w:ascii="宋体" w:hAnsi="宋体" w:eastAsia="宋体" w:cs="宋体"/>
          <w:sz w:val="24"/>
        </w:rPr>
        <w:t>备注：</w:t>
      </w:r>
    </w:p>
    <w:p>
      <w:pPr>
        <w:spacing w:line="360" w:lineRule="auto"/>
        <w:rPr>
          <w:rFonts w:hint="eastAsia" w:ascii="宋体" w:hAnsi="宋体" w:eastAsia="宋体" w:cs="宋体"/>
          <w:sz w:val="24"/>
        </w:rPr>
      </w:pPr>
      <w:r>
        <w:rPr>
          <w:rFonts w:ascii="宋体" w:hAnsi="宋体" w:eastAsia="宋体" w:cs="宋体"/>
          <w:sz w:val="24"/>
        </w:rPr>
        <w:t>1、此表用于开标会唱标之用。</w:t>
      </w:r>
    </w:p>
    <w:p>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r>
        <w:rPr>
          <w:rFonts w:ascii="宋体" w:hAnsi="宋体" w:eastAsia="宋体" w:cs="宋体"/>
          <w:sz w:val="24"/>
        </w:rPr>
        <w:t>格式5</w:t>
      </w:r>
    </w:p>
    <w:p>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pPr>
        <w:jc w:val="center"/>
        <w:rPr>
          <w:rFonts w:ascii="Times New Roman" w:hAnsi="Times New Roman" w:eastAsia="Times New Roman" w:cs="Times New Roman"/>
          <w:sz w:val="24"/>
        </w:rPr>
      </w:pPr>
    </w:p>
    <w:p>
      <w:pPr>
        <w:rPr>
          <w:rFonts w:ascii="Times New Roman" w:hAnsi="Times New Roman" w:eastAsia="Times New Roman" w:cs="Times New Roman"/>
          <w:sz w:val="24"/>
        </w:rPr>
      </w:pPr>
      <w:r>
        <w:rPr>
          <w:rFonts w:ascii="宋体" w:hAnsi="宋体" w:eastAsia="宋体" w:cs="宋体"/>
          <w:sz w:val="24"/>
        </w:rPr>
        <w:t>谈判供应商名称：</w:t>
      </w:r>
    </w:p>
    <w:p>
      <w:pPr>
        <w:jc w:val="center"/>
        <w:rPr>
          <w:rFonts w:ascii="Times New Roman" w:hAnsi="Times New Roman" w:eastAsia="Times New Roman" w:cs="Times New Roman"/>
          <w:sz w:val="24"/>
        </w:rPr>
      </w:pPr>
      <w:r>
        <w:rPr>
          <w:rFonts w:ascii="宋体" w:hAnsi="宋体" w:eastAsia="宋体" w:cs="宋体"/>
          <w:sz w:val="24"/>
        </w:rPr>
        <w:t>单位：元</w:t>
      </w:r>
    </w:p>
    <w:tbl>
      <w:tblPr>
        <w:tblStyle w:val="9"/>
        <w:tblW w:w="0" w:type="auto"/>
        <w:tblInd w:w="0" w:type="dxa"/>
        <w:tblLayout w:type="autofit"/>
        <w:tblCellMar>
          <w:top w:w="0" w:type="dxa"/>
          <w:left w:w="10" w:type="dxa"/>
          <w:bottom w:w="0" w:type="dxa"/>
          <w:right w:w="10" w:type="dxa"/>
        </w:tblCellMar>
      </w:tblPr>
      <w:tblGrid>
        <w:gridCol w:w="806"/>
        <w:gridCol w:w="4612"/>
        <w:gridCol w:w="1034"/>
        <w:gridCol w:w="1034"/>
        <w:gridCol w:w="1036"/>
      </w:tblGrid>
      <w:tr>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小计</w:t>
            </w: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4"/>
                <w:szCs w:val="24"/>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hint="eastAsia" w:ascii="宋体" w:hAnsi="宋体" w:eastAsia="宋体" w:cs="宋体"/>
                <w:sz w:val="24"/>
                <w:szCs w:val="24"/>
              </w:rPr>
            </w:pPr>
            <w:r>
              <w:rPr>
                <w:rFonts w:hint="eastAsia" w:ascii="宋体" w:hAnsi="宋体" w:eastAsia="宋体" w:cs="宋体"/>
                <w:sz w:val="24"/>
                <w:szCs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pPr>
        <w:jc w:val="center"/>
        <w:rPr>
          <w:rFonts w:ascii="Times New Roman" w:hAnsi="Times New Roman" w:eastAsia="Times New Roman" w:cs="Times New Roman"/>
          <w:sz w:val="24"/>
        </w:rPr>
      </w:pPr>
    </w:p>
    <w:p>
      <w:pPr>
        <w:jc w:val="center"/>
        <w:rPr>
          <w:rFonts w:ascii="Times New Roman" w:hAnsi="Times New Roman" w:eastAsia="Times New Roman" w:cs="Times New Roman"/>
          <w:sz w:val="24"/>
        </w:rPr>
      </w:pPr>
    </w:p>
    <w:p>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cs="Times New Roman"/>
          <w:sz w:val="22"/>
        </w:rPr>
      </w:pPr>
    </w:p>
    <w:p>
      <w:pPr>
        <w:pStyle w:val="13"/>
        <w:ind w:firstLine="210"/>
      </w:pPr>
    </w:p>
    <w:p>
      <w:pPr>
        <w:pStyle w:val="13"/>
        <w:ind w:firstLine="210"/>
      </w:pPr>
    </w:p>
    <w:p>
      <w:pPr>
        <w:pStyle w:val="13"/>
        <w:ind w:firstLine="210"/>
      </w:pPr>
    </w:p>
    <w:p>
      <w:pPr>
        <w:pStyle w:val="13"/>
        <w:ind w:firstLine="210"/>
      </w:pPr>
    </w:p>
    <w:p>
      <w:pPr>
        <w:pStyle w:val="13"/>
        <w:ind w:firstLine="210"/>
      </w:pPr>
    </w:p>
    <w:p>
      <w:pPr>
        <w:pStyle w:val="13"/>
        <w:ind w:firstLine="210"/>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pPr>
        <w:rPr>
          <w:rFonts w:hint="eastAsia" w:ascii="宋体" w:hAnsi="宋体" w:eastAsia="宋体" w:cs="宋体"/>
          <w:sz w:val="24"/>
        </w:rPr>
      </w:pPr>
    </w:p>
    <w:p>
      <w:pPr>
        <w:rPr>
          <w:rFonts w:hint="eastAsia" w:ascii="宋体" w:hAnsi="宋体" w:eastAsia="宋体" w:cs="宋体"/>
          <w:sz w:val="24"/>
        </w:rPr>
      </w:pPr>
    </w:p>
    <w:tbl>
      <w:tblPr>
        <w:tblStyle w:val="9"/>
        <w:tblW w:w="0" w:type="auto"/>
        <w:tblInd w:w="0" w:type="dxa"/>
        <w:tblLayout w:type="autofit"/>
        <w:tblCellMar>
          <w:top w:w="0" w:type="dxa"/>
          <w:left w:w="10" w:type="dxa"/>
          <w:bottom w:w="0" w:type="dxa"/>
          <w:right w:w="10" w:type="dxa"/>
        </w:tblCellMar>
      </w:tblPr>
      <w:tblGrid>
        <w:gridCol w:w="702"/>
        <w:gridCol w:w="701"/>
        <w:gridCol w:w="3240"/>
        <w:gridCol w:w="2616"/>
        <w:gridCol w:w="1263"/>
      </w:tblGrid>
      <w:tr>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按投标人所投内容填写</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偏离说明</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bl>
    <w:p>
      <w:pPr>
        <w:rPr>
          <w:rFonts w:hint="eastAsia" w:ascii="宋体" w:hAnsi="宋体" w:eastAsia="宋体" w:cs="宋体"/>
          <w:sz w:val="24"/>
        </w:rPr>
      </w:pPr>
    </w:p>
    <w:p>
      <w:pPr>
        <w:rPr>
          <w:rFonts w:hint="eastAsia" w:ascii="宋体" w:hAnsi="宋体" w:eastAsia="宋体" w:cs="宋体"/>
          <w:sz w:val="24"/>
        </w:rPr>
      </w:pPr>
      <w:r>
        <w:rPr>
          <w:rFonts w:ascii="宋体" w:hAnsi="宋体" w:eastAsia="宋体" w:cs="宋体"/>
          <w:sz w:val="24"/>
        </w:rPr>
        <w:t>(可根据需求自行更改)</w:t>
      </w:r>
    </w:p>
    <w:p>
      <w:pPr>
        <w:rPr>
          <w:rFonts w:hint="eastAsia" w:ascii="宋体" w:hAnsi="宋体" w:eastAsia="宋体" w:cs="宋体"/>
          <w:sz w:val="24"/>
        </w:rPr>
      </w:pPr>
    </w:p>
    <w:p>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p>
    <w:p>
      <w:pPr>
        <w:spacing w:line="360" w:lineRule="auto"/>
        <w:jc w:val="left"/>
        <w:rPr>
          <w:rFonts w:hint="eastAsia" w:ascii="宋体" w:hAnsi="宋体" w:eastAsia="宋体" w:cs="宋体"/>
          <w:sz w:val="24"/>
        </w:rPr>
      </w:pPr>
      <w:r>
        <w:rPr>
          <w:rFonts w:ascii="宋体" w:hAnsi="宋体" w:eastAsia="宋体" w:cs="宋体"/>
          <w:sz w:val="24"/>
        </w:rPr>
        <w:t>格式7</w:t>
      </w:r>
    </w:p>
    <w:p>
      <w:pPr>
        <w:tabs>
          <w:tab w:val="left" w:pos="0"/>
          <w:tab w:val="left" w:pos="993"/>
          <w:tab w:val="left" w:pos="1134"/>
        </w:tabs>
        <w:ind w:firstLine="480"/>
        <w:rPr>
          <w:rFonts w:hint="eastAsia" w:ascii="宋体" w:hAnsi="宋体" w:eastAsia="宋体" w:cs="宋体"/>
          <w:sz w:val="24"/>
        </w:rPr>
      </w:pPr>
    </w:p>
    <w:p>
      <w:pPr>
        <w:spacing w:line="380" w:lineRule="auto"/>
        <w:jc w:val="center"/>
        <w:rPr>
          <w:rFonts w:hint="eastAsia" w:ascii="宋体" w:hAnsi="宋体" w:eastAsia="宋体" w:cs="宋体"/>
          <w:sz w:val="24"/>
        </w:rPr>
      </w:pPr>
      <w:r>
        <w:rPr>
          <w:rFonts w:ascii="宋体" w:hAnsi="宋体" w:eastAsia="宋体" w:cs="宋体"/>
          <w:sz w:val="24"/>
        </w:rPr>
        <w:t>售后服务承诺</w:t>
      </w:r>
    </w:p>
    <w:p>
      <w:pPr>
        <w:spacing w:line="380" w:lineRule="auto"/>
        <w:jc w:val="center"/>
        <w:rPr>
          <w:rFonts w:hint="eastAsia" w:ascii="宋体" w:hAnsi="宋体" w:eastAsia="宋体" w:cs="宋体"/>
          <w:sz w:val="24"/>
        </w:rPr>
      </w:pPr>
    </w:p>
    <w:p>
      <w:pPr>
        <w:spacing w:line="380" w:lineRule="auto"/>
        <w:ind w:firstLine="360"/>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spacing w:line="380" w:lineRule="auto"/>
        <w:rPr>
          <w:rFonts w:hint="eastAsia" w:ascii="宋体" w:hAnsi="宋体" w:eastAsia="宋体" w:cs="宋体"/>
          <w:sz w:val="24"/>
        </w:rPr>
      </w:pPr>
    </w:p>
    <w:p>
      <w:pPr>
        <w:spacing w:line="380" w:lineRule="auto"/>
        <w:ind w:firstLine="4008"/>
        <w:rPr>
          <w:rFonts w:hint="eastAsia" w:ascii="宋体" w:hAnsi="宋体" w:eastAsia="宋体" w:cs="宋体"/>
          <w:sz w:val="24"/>
        </w:rPr>
      </w:pPr>
      <w:r>
        <w:rPr>
          <w:rFonts w:ascii="宋体" w:hAnsi="宋体" w:eastAsia="宋体" w:cs="宋体"/>
          <w:sz w:val="24"/>
        </w:rPr>
        <w:t>投标人电子公章：</w:t>
      </w:r>
    </w:p>
    <w:p>
      <w:pPr>
        <w:spacing w:line="380" w:lineRule="auto"/>
        <w:ind w:right="640" w:firstLine="1560"/>
        <w:rPr>
          <w:rFonts w:hint="eastAsia" w:ascii="宋体" w:hAnsi="宋体" w:eastAsia="宋体" w:cs="宋体"/>
          <w:sz w:val="24"/>
        </w:rPr>
      </w:pPr>
    </w:p>
    <w:p>
      <w:pPr>
        <w:spacing w:line="380" w:lineRule="auto"/>
        <w:ind w:right="640" w:firstLine="4680"/>
        <w:rPr>
          <w:rFonts w:hint="eastAsia" w:ascii="宋体" w:hAnsi="宋体" w:eastAsia="宋体" w:cs="宋体"/>
          <w:sz w:val="24"/>
        </w:rPr>
      </w:pPr>
    </w:p>
    <w:p>
      <w:pPr>
        <w:spacing w:line="380" w:lineRule="auto"/>
        <w:jc w:val="center"/>
        <w:rPr>
          <w:rFonts w:hint="eastAsia" w:ascii="宋体" w:hAnsi="宋体" w:eastAsia="宋体" w:cs="宋体"/>
          <w:sz w:val="24"/>
        </w:rPr>
      </w:pPr>
    </w:p>
    <w:p>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p>
      <w:pPr>
        <w:spacing w:line="360" w:lineRule="auto"/>
        <w:rPr>
          <w:rFonts w:hint="eastAsia" w:ascii="宋体" w:hAnsi="宋体" w:eastAsia="宋体" w:cs="宋体"/>
          <w:sz w:val="24"/>
        </w:rPr>
      </w:pPr>
      <w:r>
        <w:rPr>
          <w:rFonts w:ascii="宋体" w:hAnsi="宋体" w:eastAsia="宋体" w:cs="宋体"/>
          <w:sz w:val="24"/>
        </w:rPr>
        <w:t>格式8</w:t>
      </w:r>
    </w:p>
    <w:p>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pStyle w:val="15"/>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80" w:lineRule="auto"/>
        <w:ind w:firstLine="3360"/>
        <w:rPr>
          <w:rFonts w:hint="eastAsia" w:ascii="宋体" w:hAnsi="宋体" w:eastAsia="宋体" w:cs="宋体"/>
          <w:sz w:val="24"/>
        </w:rPr>
      </w:pPr>
      <w:r>
        <w:rPr>
          <w:rFonts w:ascii="宋体" w:hAnsi="宋体" w:eastAsia="宋体" w:cs="宋体"/>
          <w:sz w:val="24"/>
        </w:rPr>
        <w:t>投标人电子公章：</w:t>
      </w:r>
    </w:p>
    <w:p>
      <w:pPr>
        <w:spacing w:line="380" w:lineRule="auto"/>
        <w:ind w:right="640" w:firstLine="1560"/>
        <w:rPr>
          <w:rFonts w:hint="eastAsia" w:ascii="宋体" w:hAnsi="宋体" w:eastAsia="宋体" w:cs="宋体"/>
          <w:sz w:val="24"/>
        </w:rPr>
      </w:pPr>
    </w:p>
    <w:p>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pPr>
        <w:spacing w:line="360" w:lineRule="auto"/>
        <w:jc w:val="center"/>
        <w:rPr>
          <w:rFonts w:hint="eastAsia" w:ascii="宋体" w:hAnsi="宋体" w:eastAsia="宋体" w:cs="宋体"/>
          <w:b/>
          <w:sz w:val="24"/>
        </w:rPr>
      </w:pPr>
    </w:p>
    <w:p>
      <w:pPr>
        <w:pStyle w:val="15"/>
        <w:rPr>
          <w:rFonts w:hint="eastAsia" w:ascii="宋体" w:hAnsi="宋体" w:cs="宋体"/>
          <w:b/>
          <w:sz w:val="24"/>
        </w:rPr>
      </w:pPr>
    </w:p>
    <w:p>
      <w:pPr>
        <w:pStyle w:val="3"/>
        <w:rPr>
          <w:rFonts w:hint="eastAsia" w:ascii="宋体" w:hAnsi="宋体" w:eastAsia="宋体" w:cs="宋体"/>
          <w:b/>
          <w:sz w:val="24"/>
        </w:rPr>
      </w:pPr>
    </w:p>
    <w:p>
      <w:pPr>
        <w:rPr>
          <w:rFonts w:hint="eastAsia" w:ascii="宋体" w:hAnsi="宋体" w:eastAsia="宋体" w:cs="宋体"/>
          <w:b/>
          <w:sz w:val="24"/>
        </w:rPr>
      </w:pPr>
    </w:p>
    <w:p>
      <w:pPr>
        <w:pStyle w:val="15"/>
        <w:rPr>
          <w:rFonts w:hint="eastAsia" w:ascii="宋体" w:hAnsi="宋体" w:cs="宋体"/>
          <w:b/>
          <w:sz w:val="24"/>
        </w:rPr>
      </w:pPr>
    </w:p>
    <w:p>
      <w:pPr>
        <w:pStyle w:val="3"/>
        <w:rPr>
          <w:rFonts w:hint="eastAsia" w:ascii="宋体" w:hAnsi="宋体" w:eastAsia="宋体" w:cs="宋体"/>
          <w:b/>
          <w:sz w:val="24"/>
        </w:rPr>
      </w:pPr>
    </w:p>
    <w:p>
      <w:pPr>
        <w:rPr>
          <w:rFonts w:hint="eastAsia" w:ascii="宋体" w:hAnsi="宋体" w:eastAsia="宋体" w:cs="宋体"/>
          <w:b/>
          <w:sz w:val="24"/>
        </w:rPr>
      </w:pPr>
    </w:p>
    <w:p>
      <w:pPr>
        <w:pStyle w:val="15"/>
        <w:rPr>
          <w:rFonts w:hint="eastAsia" w:ascii="宋体" w:hAnsi="宋体" w:cs="宋体"/>
          <w:b/>
          <w:sz w:val="24"/>
        </w:rPr>
      </w:pPr>
    </w:p>
    <w:p>
      <w:pPr>
        <w:pStyle w:val="3"/>
        <w:rPr>
          <w:rFonts w:hint="eastAsia" w:ascii="宋体" w:hAnsi="宋体" w:eastAsia="宋体" w:cs="宋体"/>
          <w:b/>
          <w:sz w:val="24"/>
        </w:rPr>
      </w:pPr>
    </w:p>
    <w:p>
      <w:pPr>
        <w:rPr>
          <w:rFonts w:hint="eastAsia" w:ascii="宋体" w:hAnsi="宋体" w:eastAsia="宋体" w:cs="宋体"/>
          <w:b/>
          <w:sz w:val="24"/>
        </w:rPr>
      </w:pPr>
    </w:p>
    <w:p>
      <w:pPr>
        <w:pStyle w:val="15"/>
        <w:rPr>
          <w:rFonts w:hint="eastAsia" w:ascii="宋体" w:hAnsi="宋体" w:cs="宋体"/>
          <w:b/>
          <w:sz w:val="24"/>
        </w:rPr>
      </w:pPr>
    </w:p>
    <w:p>
      <w:pPr>
        <w:pStyle w:val="3"/>
        <w:rPr>
          <w:rFonts w:hint="eastAsia" w:ascii="宋体" w:hAnsi="宋体" w:eastAsia="宋体" w:cs="宋体"/>
          <w:b/>
          <w:sz w:val="24"/>
        </w:rPr>
      </w:pPr>
    </w:p>
    <w:p/>
    <w:p>
      <w:pPr>
        <w:spacing w:line="360" w:lineRule="auto"/>
        <w:jc w:val="center"/>
        <w:rPr>
          <w:rFonts w:hint="eastAsia" w:ascii="宋体" w:hAnsi="宋体" w:eastAsia="宋体" w:cs="宋体"/>
          <w:b/>
          <w:sz w:val="24"/>
        </w:rPr>
      </w:pPr>
    </w:p>
    <w:p>
      <w:pPr>
        <w:spacing w:line="360" w:lineRule="auto"/>
        <w:rPr>
          <w:rFonts w:hint="eastAsia" w:ascii="宋体" w:hAnsi="宋体" w:eastAsia="宋体" w:cs="宋体"/>
          <w:sz w:val="24"/>
        </w:rPr>
      </w:pPr>
      <w:r>
        <w:rPr>
          <w:rFonts w:ascii="宋体" w:hAnsi="宋体" w:eastAsia="宋体" w:cs="宋体"/>
          <w:sz w:val="24"/>
        </w:rPr>
        <w:t>格式9</w:t>
      </w:r>
    </w:p>
    <w:p>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rPr>
          <w:rFonts w:hint="eastAsia" w:ascii="宋体" w:hAnsi="宋体" w:eastAsia="宋体" w:cs="宋体"/>
          <w:sz w:val="24"/>
          <w:szCs w:val="24"/>
        </w:rPr>
      </w:pPr>
      <w:r>
        <w:rPr>
          <w:rFonts w:hint="eastAsia" w:ascii="宋体" w:hAnsi="宋体" w:eastAsia="宋体" w:cs="宋体"/>
          <w:sz w:val="24"/>
          <w:szCs w:val="24"/>
        </w:rPr>
        <w:t>……</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pPr>
        <w:spacing w:line="360" w:lineRule="auto"/>
        <w:rPr>
          <w:rFonts w:hint="eastAsia" w:ascii="宋体" w:hAnsi="宋体" w:eastAsia="宋体" w:cs="宋体"/>
          <w:sz w:val="24"/>
        </w:rPr>
      </w:pPr>
    </w:p>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pStyle w:val="15"/>
        <w:rPr>
          <w:rFonts w:hint="eastAsia" w:ascii="宋体" w:hAnsi="宋体" w:cs="宋体"/>
          <w:sz w:val="24"/>
        </w:rPr>
      </w:pPr>
    </w:p>
    <w:p>
      <w:pPr>
        <w:pStyle w:val="3"/>
        <w:rPr>
          <w:rFonts w:hint="eastAsia" w:ascii="宋体" w:hAnsi="宋体" w:eastAsia="宋体" w:cs="宋体"/>
          <w:sz w:val="24"/>
        </w:rPr>
      </w:pPr>
    </w:p>
    <w:p>
      <w:pPr>
        <w:rPr>
          <w:rFonts w:hint="eastAsia" w:ascii="宋体" w:hAnsi="宋体" w:eastAsia="宋体" w:cs="宋体"/>
          <w:sz w:val="24"/>
        </w:rPr>
      </w:pPr>
    </w:p>
    <w:p>
      <w:pPr>
        <w:pStyle w:val="15"/>
        <w:rPr>
          <w:rFonts w:hint="eastAsia" w:ascii="宋体" w:hAnsi="宋体" w:cs="宋体"/>
          <w:sz w:val="24"/>
        </w:rPr>
      </w:pPr>
    </w:p>
    <w:p>
      <w:pPr>
        <w:pStyle w:val="3"/>
        <w:rPr>
          <w:rFonts w:hint="eastAsia" w:ascii="宋体" w:hAnsi="宋体" w:eastAsia="宋体" w:cs="宋体"/>
          <w:sz w:val="24"/>
        </w:rPr>
      </w:pPr>
    </w:p>
    <w:p>
      <w:pPr>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pPr>
        <w:ind w:firstLine="240"/>
        <w:jc w:val="left"/>
        <w:rPr>
          <w:rFonts w:hint="eastAsia" w:ascii="宋体" w:hAnsi="宋体" w:eastAsia="宋体" w:cs="宋体"/>
          <w:sz w:val="24"/>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ind w:firstLine="321"/>
        <w:jc w:val="center"/>
        <w:rPr>
          <w:rFonts w:hint="eastAsia" w:ascii="宋体" w:hAnsi="宋体" w:eastAsia="宋体" w:cs="宋体"/>
          <w:b/>
          <w:sz w:val="32"/>
        </w:rPr>
      </w:pPr>
    </w:p>
    <w:p>
      <w:pPr>
        <w:jc w:val="left"/>
        <w:rPr>
          <w:rFonts w:hint="eastAsia" w:ascii="宋体" w:hAnsi="宋体" w:eastAsia="宋体" w:cs="宋体"/>
          <w:sz w:val="24"/>
        </w:rPr>
      </w:pPr>
    </w:p>
    <w:p>
      <w:pPr>
        <w:pStyle w:val="15"/>
        <w:rPr>
          <w:rFonts w:hint="eastAsia" w:ascii="宋体" w:hAnsi="宋体" w:cs="宋体"/>
          <w:sz w:val="24"/>
        </w:rPr>
      </w:pPr>
    </w:p>
    <w:p>
      <w:pPr>
        <w:pStyle w:val="3"/>
        <w:rPr>
          <w:rFonts w:hint="eastAsia" w:ascii="宋体" w:hAnsi="宋体" w:eastAsia="宋体" w:cs="宋体"/>
          <w:sz w:val="24"/>
        </w:rPr>
      </w:pPr>
    </w:p>
    <w:p>
      <w:pPr>
        <w:rPr>
          <w:rFonts w:hint="eastAsia" w:ascii="宋体" w:hAnsi="宋体" w:eastAsia="宋体" w:cs="宋体"/>
          <w:sz w:val="24"/>
        </w:rPr>
      </w:pPr>
    </w:p>
    <w:p>
      <w:pPr>
        <w:pStyle w:val="15"/>
        <w:rPr>
          <w:rFonts w:hint="eastAsia" w:ascii="宋体" w:hAnsi="宋体" w:cs="宋体"/>
          <w:sz w:val="24"/>
        </w:rPr>
      </w:pPr>
    </w:p>
    <w:p>
      <w:pPr>
        <w:pStyle w:val="3"/>
        <w:rPr>
          <w:rFonts w:hint="eastAsia" w:ascii="宋体" w:hAnsi="宋体" w:eastAsia="宋体" w:cs="宋体"/>
          <w:sz w:val="24"/>
        </w:rPr>
      </w:pPr>
    </w:p>
    <w:p>
      <w:pPr>
        <w:rPr>
          <w:rFonts w:hint="eastAsia" w:ascii="宋体" w:hAnsi="宋体" w:eastAsia="宋体" w:cs="宋体"/>
          <w:sz w:val="24"/>
        </w:rPr>
      </w:pPr>
    </w:p>
    <w:p>
      <w:pPr>
        <w:pStyle w:val="15"/>
        <w:rPr>
          <w:rFonts w:hint="eastAsia" w:ascii="宋体" w:hAnsi="宋体" w:cs="宋体"/>
          <w:sz w:val="24"/>
        </w:rPr>
      </w:pPr>
    </w:p>
    <w:p>
      <w:pPr>
        <w:pStyle w:val="3"/>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pStyle w:val="13"/>
        <w:ind w:firstLine="240"/>
        <w:rPr>
          <w:rFonts w:hint="eastAsia" w:ascii="宋体" w:hAnsi="宋体" w:eastAsia="宋体" w:cs="宋体"/>
          <w:sz w:val="24"/>
        </w:rPr>
      </w:pPr>
    </w:p>
    <w:p>
      <w:pPr>
        <w:pStyle w:val="13"/>
        <w:ind w:firstLine="240"/>
        <w:rPr>
          <w:rFonts w:hint="eastAsia" w:ascii="宋体" w:hAnsi="宋体" w:eastAsia="宋体" w:cs="宋体"/>
          <w:sz w:val="24"/>
        </w:rPr>
      </w:pPr>
    </w:p>
    <w:p>
      <w:pPr>
        <w:pStyle w:val="15"/>
        <w:rPr>
          <w:rFonts w:hint="eastAsia" w:ascii="宋体" w:hAnsi="宋体" w:cs="宋体"/>
          <w:sz w:val="24"/>
        </w:rPr>
      </w:pPr>
    </w:p>
    <w:p>
      <w:pPr>
        <w:pStyle w:val="3"/>
        <w:rPr>
          <w:rFonts w:hint="eastAsia" w:ascii="宋体" w:hAnsi="宋体" w:eastAsia="宋体" w:cs="宋体"/>
          <w:sz w:val="24"/>
        </w:rPr>
      </w:pPr>
    </w:p>
    <w:p>
      <w:pPr>
        <w:rPr>
          <w:rFonts w:hint="eastAsia" w:ascii="宋体" w:hAnsi="宋体" w:eastAsia="宋体" w:cs="宋体"/>
          <w:sz w:val="24"/>
        </w:rPr>
      </w:pPr>
    </w:p>
    <w:p>
      <w:pPr>
        <w:pStyle w:val="15"/>
      </w:pPr>
    </w:p>
    <w:p>
      <w:pPr>
        <w:ind w:firstLine="240"/>
        <w:jc w:val="left"/>
        <w:rPr>
          <w:rFonts w:hint="eastAsia" w:ascii="宋体" w:hAnsi="宋体" w:eastAsia="宋体" w:cs="宋体"/>
          <w:sz w:val="24"/>
        </w:rPr>
      </w:pPr>
    </w:p>
    <w:p>
      <w:pPr>
        <w:spacing w:line="360" w:lineRule="auto"/>
        <w:rPr>
          <w:rFonts w:hint="eastAsia" w:ascii="宋体" w:hAnsi="宋体" w:eastAsia="宋体" w:cs="宋体"/>
          <w:szCs w:val="21"/>
        </w:rPr>
      </w:pPr>
    </w:p>
    <w:p>
      <w:pPr>
        <w:spacing w:line="360" w:lineRule="auto"/>
        <w:rPr>
          <w:rFonts w:hint="eastAsia" w:ascii="宋体" w:hAnsi="宋体" w:eastAsia="宋体" w:cs="宋体"/>
          <w:b/>
          <w:szCs w:val="21"/>
        </w:rPr>
      </w:pPr>
      <w:r>
        <w:rPr>
          <w:rFonts w:hint="eastAsia" w:ascii="宋体" w:hAnsi="宋体" w:eastAsia="宋体" w:cs="宋体"/>
          <w:szCs w:val="21"/>
        </w:rPr>
        <w:t>格式11</w:t>
      </w:r>
    </w:p>
    <w:p>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pPr>
        <w:spacing w:line="380" w:lineRule="auto"/>
        <w:jc w:val="center"/>
        <w:rPr>
          <w:rFonts w:hint="eastAsia" w:ascii="宋体" w:hAnsi="宋体" w:eastAsia="宋体" w:cs="宋体"/>
          <w:b/>
          <w:szCs w:val="21"/>
        </w:rPr>
      </w:pPr>
    </w:p>
    <w:p>
      <w:pPr>
        <w:adjustRightInd w:val="0"/>
        <w:snapToGrid w:val="0"/>
        <w:spacing w:line="36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（一）提供虚假材料谋取中标;</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（九）无正当理由，拒绝履行合同义务;</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（十）无正当理由放弃中标（成交）项目;</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pPr>
        <w:adjustRightInd w:val="0"/>
        <w:snapToGrid w:val="0"/>
        <w:spacing w:line="360" w:lineRule="auto"/>
        <w:ind w:firstLine="3360"/>
        <w:rPr>
          <w:rFonts w:hint="eastAsia" w:ascii="宋体" w:hAnsi="宋体" w:eastAsia="宋体" w:cs="宋体"/>
          <w:szCs w:val="21"/>
        </w:rPr>
      </w:pPr>
    </w:p>
    <w:p>
      <w:pPr>
        <w:adjustRightInd w:val="0"/>
        <w:snapToGrid w:val="0"/>
        <w:spacing w:line="360" w:lineRule="auto"/>
        <w:ind w:firstLine="3360"/>
        <w:rPr>
          <w:rFonts w:hint="eastAsia" w:ascii="宋体" w:hAnsi="宋体" w:eastAsia="宋体" w:cs="宋体"/>
          <w:szCs w:val="21"/>
        </w:rPr>
      </w:pPr>
      <w:r>
        <w:rPr>
          <w:rFonts w:hint="eastAsia" w:ascii="宋体" w:hAnsi="宋体" w:eastAsia="宋体" w:cs="宋体"/>
          <w:szCs w:val="21"/>
        </w:rPr>
        <w:t>供应商名称：（盖章）</w:t>
      </w:r>
    </w:p>
    <w:p>
      <w:pPr>
        <w:adjustRightInd w:val="0"/>
        <w:snapToGrid w:val="0"/>
        <w:spacing w:line="36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pPr>
        <w:adjustRightInd w:val="0"/>
        <w:snapToGrid w:val="0"/>
        <w:spacing w:line="360" w:lineRule="auto"/>
        <w:ind w:firstLine="3360"/>
        <w:rPr>
          <w:rFonts w:hint="eastAsia" w:ascii="宋体" w:hAnsi="宋体" w:eastAsia="宋体" w:cs="宋体"/>
          <w:b/>
          <w:szCs w:val="21"/>
        </w:rPr>
      </w:pPr>
      <w:r>
        <w:rPr>
          <w:rFonts w:hint="eastAsia" w:ascii="宋体" w:hAnsi="宋体" w:eastAsia="宋体" w:cs="宋体"/>
          <w:szCs w:val="21"/>
        </w:rPr>
        <w:t>日期：年月日</w:t>
      </w:r>
    </w:p>
    <w:p>
      <w:pPr>
        <w:spacing w:line="500" w:lineRule="auto"/>
        <w:jc w:val="center"/>
        <w:rPr>
          <w:rFonts w:hint="eastAsia" w:ascii="宋体" w:hAnsi="宋体" w:eastAsia="宋体" w:cs="宋体"/>
          <w:sz w:val="28"/>
        </w:rPr>
      </w:pPr>
    </w:p>
    <w:p>
      <w:pPr>
        <w:spacing w:line="500" w:lineRule="auto"/>
        <w:jc w:val="center"/>
        <w:rPr>
          <w:rFonts w:hint="eastAsia" w:ascii="宋体" w:hAnsi="宋体" w:eastAsia="宋体" w:cs="宋体"/>
          <w:sz w:val="28"/>
        </w:rPr>
      </w:pPr>
    </w:p>
    <w:p>
      <w:pPr>
        <w:spacing w:line="500" w:lineRule="auto"/>
        <w:jc w:val="center"/>
        <w:rPr>
          <w:rFonts w:hint="eastAsia" w:ascii="宋体" w:hAnsi="宋体" w:eastAsia="宋体" w:cs="宋体"/>
          <w:sz w:val="28"/>
        </w:rPr>
      </w:pPr>
    </w:p>
    <w:p>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pPr>
        <w:rPr>
          <w:rFonts w:hint="eastAsia" w:ascii="黑体" w:hAnsi="黑体" w:eastAsia="黑体" w:cs="黑体"/>
          <w:sz w:val="32"/>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r>
        <w:rPr>
          <w:rFonts w:ascii="黑体" w:hAnsi="黑体" w:eastAsia="黑体" w:cs="黑体"/>
          <w:sz w:val="30"/>
        </w:rPr>
        <w:t>政府采购项目名称：</w:t>
      </w:r>
    </w:p>
    <w:p>
      <w:pPr>
        <w:spacing w:line="300" w:lineRule="auto"/>
        <w:rPr>
          <w:rFonts w:hint="eastAsia" w:ascii="黑体" w:hAnsi="黑体" w:eastAsia="黑体" w:cs="黑体"/>
          <w:sz w:val="30"/>
        </w:rPr>
      </w:pPr>
      <w:r>
        <w:rPr>
          <w:rFonts w:ascii="黑体" w:hAnsi="黑体" w:eastAsia="黑体" w:cs="黑体"/>
          <w:sz w:val="30"/>
        </w:rPr>
        <w:t>政府采购项目编号：</w:t>
      </w:r>
    </w:p>
    <w:p>
      <w:pPr>
        <w:spacing w:line="300" w:lineRule="auto"/>
        <w:rPr>
          <w:rFonts w:hint="eastAsia" w:ascii="黑体" w:hAnsi="黑体" w:eastAsia="黑体" w:cs="黑体"/>
          <w:sz w:val="30"/>
        </w:rPr>
      </w:pPr>
      <w:r>
        <w:rPr>
          <w:rFonts w:ascii="黑体" w:hAnsi="黑体" w:eastAsia="黑体" w:cs="黑体"/>
          <w:sz w:val="30"/>
        </w:rPr>
        <w:t>采      购    人：</w:t>
      </w:r>
    </w:p>
    <w:p>
      <w:pPr>
        <w:spacing w:line="300" w:lineRule="auto"/>
        <w:rPr>
          <w:rFonts w:hint="eastAsia" w:ascii="黑体" w:hAnsi="黑体" w:eastAsia="黑体" w:cs="黑体"/>
          <w:sz w:val="30"/>
        </w:rPr>
      </w:pPr>
      <w:r>
        <w:rPr>
          <w:rFonts w:ascii="黑体" w:hAnsi="黑体" w:eastAsia="黑体" w:cs="黑体"/>
          <w:sz w:val="30"/>
        </w:rPr>
        <w:t>供      应    商：</w:t>
      </w:r>
    </w:p>
    <w:p>
      <w:pPr>
        <w:spacing w:line="300" w:lineRule="auto"/>
        <w:rPr>
          <w:rFonts w:hint="eastAsia" w:ascii="黑体" w:hAnsi="黑体" w:eastAsia="黑体" w:cs="黑体"/>
          <w:sz w:val="30"/>
        </w:rPr>
      </w:pPr>
      <w:r>
        <w:rPr>
          <w:rFonts w:ascii="黑体" w:hAnsi="黑体" w:eastAsia="黑体" w:cs="黑体"/>
          <w:sz w:val="30"/>
        </w:rPr>
        <w:t>合  同  签 订 地：</w:t>
      </w:r>
    </w:p>
    <w:p>
      <w:pPr>
        <w:spacing w:line="300" w:lineRule="auto"/>
        <w:rPr>
          <w:rFonts w:hint="eastAsia" w:ascii="黑体" w:hAnsi="黑体" w:eastAsia="黑体" w:cs="黑体"/>
          <w:sz w:val="30"/>
        </w:rPr>
      </w:pPr>
      <w:r>
        <w:rPr>
          <w:rFonts w:ascii="黑体" w:hAnsi="黑体" w:eastAsia="黑体" w:cs="黑体"/>
          <w:sz w:val="30"/>
        </w:rPr>
        <w:t>合 同 签订 时 间：</w:t>
      </w: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rPr>
          <w:rFonts w:hint="eastAsia" w:ascii="黑体" w:hAnsi="黑体" w:eastAsia="黑体" w:cs="黑体"/>
          <w:sz w:val="30"/>
        </w:rPr>
      </w:pPr>
    </w:p>
    <w:p>
      <w:pPr>
        <w:spacing w:line="300" w:lineRule="auto"/>
        <w:jc w:val="center"/>
        <w:rPr>
          <w:rFonts w:hint="eastAsia" w:ascii="方正小标宋简体" w:hAnsi="方正小标宋简体" w:eastAsia="方正小标宋简体" w:cs="方正小标宋简体"/>
          <w:sz w:val="32"/>
        </w:rPr>
      </w:pPr>
    </w:p>
    <w:p>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pPr>
        <w:spacing w:line="460" w:lineRule="auto"/>
        <w:ind w:firstLine="420"/>
        <w:rPr>
          <w:rFonts w:ascii="Times New Roman" w:hAnsi="Times New Roman" w:eastAsia="Times New Roman" w:cs="Times New Roman"/>
        </w:rPr>
      </w:pPr>
    </w:p>
    <w:p>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pPr>
        <w:spacing w:line="460" w:lineRule="auto"/>
        <w:ind w:firstLine="640"/>
        <w:jc w:val="center"/>
        <w:rPr>
          <w:rFonts w:hint="eastAsia" w:ascii="方正小标宋简体" w:hAnsi="方正小标宋简体" w:eastAsia="方正小标宋简体" w:cs="方正小标宋简体"/>
          <w:sz w:val="32"/>
        </w:rPr>
      </w:pPr>
    </w:p>
    <w:p>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pPr>
        <w:numPr>
          <w:ilvl w:val="0"/>
          <w:numId w:val="12"/>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pPr>
        <w:spacing w:line="52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rPr>
      </w:pPr>
      <w:r>
        <w:rPr>
          <w:rFonts w:ascii="宋体" w:hAnsi="宋体" w:eastAsia="宋体" w:cs="宋体"/>
        </w:rPr>
        <w:t>供应商（乙方）：</w:t>
      </w:r>
    </w:p>
    <w:p>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w:t>
      </w:r>
      <w:r>
        <w:rPr>
          <w:rFonts w:ascii="宋体" w:hAnsi="宋体" w:eastAsia="宋体" w:cs="宋体"/>
        </w:rPr>
        <w:t>采购法》、《中华人民共和国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9"/>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rPr>
            </w:pPr>
            <w:r>
              <w:rPr>
                <w:rFonts w:ascii="宋体" w:hAnsi="宋体" w:eastAsia="宋体" w:cs="宋体"/>
              </w:rPr>
              <w:t>备注</w:t>
            </w: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hint="eastAsia" w:ascii="宋体" w:hAnsi="宋体" w:eastAsia="宋体" w:cs="宋体"/>
                <w:sz w:val="22"/>
              </w:rPr>
            </w:pPr>
          </w:p>
        </w:tc>
      </w:tr>
      <w:tr>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pPr>
        <w:numPr>
          <w:ilvl w:val="0"/>
          <w:numId w:val="13"/>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pPr>
        <w:numPr>
          <w:ilvl w:val="0"/>
          <w:numId w:val="1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pPr>
        <w:spacing w:line="36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pPr>
        <w:spacing w:line="640" w:lineRule="auto"/>
        <w:ind w:firstLine="1575"/>
        <w:rPr>
          <w:rFonts w:ascii="Times New Roman" w:hAnsi="Times New Roman" w:eastAsia="Times New Roman" w:cs="Times New Roman"/>
          <w:u w:val="single"/>
        </w:rPr>
      </w:pPr>
    </w:p>
    <w:p>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pPr>
        <w:ind w:firstLine="321"/>
        <w:jc w:val="center"/>
        <w:rPr>
          <w:rFonts w:ascii="Times New Roman" w:hAnsi="Times New Roman" w:eastAsia="Times New Roman" w:cs="Times New Roman"/>
          <w:b/>
          <w:sz w:val="32"/>
        </w:rPr>
      </w:pPr>
    </w:p>
    <w:p>
      <w:pPr>
        <w:ind w:firstLine="420"/>
        <w:jc w:val="left"/>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p>
    <w:p>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pPr>
        <w:ind w:firstLine="240"/>
        <w:jc w:val="left"/>
        <w:rPr>
          <w:rFonts w:hint="eastAsia" w:ascii="宋体" w:hAnsi="宋体" w:eastAsia="宋体" w:cs="宋体"/>
          <w:szCs w:val="21"/>
        </w:rPr>
      </w:pPr>
    </w:p>
    <w:p>
      <w:pPr>
        <w:ind w:firstLine="240"/>
        <w:jc w:val="left"/>
        <w:rPr>
          <w:rFonts w:hint="eastAsia" w:ascii="宋体" w:hAnsi="宋体" w:eastAsia="宋体" w:cs="宋体"/>
          <w:szCs w:val="21"/>
        </w:rPr>
      </w:pPr>
    </w:p>
    <w:p>
      <w:pPr>
        <w:ind w:firstLine="240"/>
        <w:jc w:val="left"/>
        <w:rPr>
          <w:rFonts w:hint="eastAsia" w:ascii="宋体" w:hAnsi="宋体" w:eastAsia="宋体" w:cs="宋体"/>
          <w:szCs w:val="21"/>
        </w:rPr>
      </w:pPr>
    </w:p>
    <w:p>
      <w:pPr>
        <w:ind w:firstLine="240"/>
        <w:jc w:val="left"/>
        <w:rPr>
          <w:rFonts w:hint="eastAsia" w:ascii="宋体" w:hAnsi="宋体" w:eastAsia="宋体" w:cs="宋体"/>
          <w:szCs w:val="21"/>
        </w:rPr>
      </w:pPr>
      <w:r>
        <w:rPr>
          <w:rFonts w:hint="eastAsia" w:ascii="宋体" w:hAnsi="宋体" w:eastAsia="宋体" w:cs="宋体"/>
          <w:szCs w:val="21"/>
        </w:rPr>
        <w:t>各供应商：</w:t>
      </w:r>
    </w:p>
    <w:p>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贷款渠道和提供贷款的金融机构，可在河南省政府采购网“河南省政府采购合同融资平台”查询联系。供应商须将此函附于响应文件中。</w:t>
      </w:r>
    </w:p>
    <w:p>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9FBB2F-8BAD-4669-9830-E9B8F8CA0A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B085FB9-FF2A-4F4F-BB70-E1BBDC406A98}"/>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71BDD9D6-3F34-4D80-9F6E-75F8CD83FF42}"/>
  </w:font>
  <w:font w:name="仿宋_GB2312">
    <w:altName w:val="仿宋"/>
    <w:panose1 w:val="00000000000000000000"/>
    <w:charset w:val="00"/>
    <w:family w:val="auto"/>
    <w:pitch w:val="default"/>
    <w:sig w:usb0="00000000" w:usb1="00000000" w:usb2="00000000" w:usb3="00000000" w:csb0="00000000" w:csb1="00000000"/>
    <w:embedRegular r:id="rId4" w:fontKey="{02954806-1E3D-45B4-94B9-504E6DF74D79}"/>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embedRegular r:id="rId5" w:fontKey="{4929905E-D7BB-41F3-A5A8-F9FF37CE140A}"/>
  </w:font>
  <w:font w:name="方正小标宋简体">
    <w:altName w:val="微软雅黑"/>
    <w:panose1 w:val="00000000000000000000"/>
    <w:charset w:val="86"/>
    <w:family w:val="auto"/>
    <w:pitch w:val="default"/>
    <w:sig w:usb0="00000000" w:usb1="00000000" w:usb2="00000000" w:usb3="00000000" w:csb0="00040000" w:csb1="00000000"/>
    <w:embedRegular r:id="rId6" w:fontKey="{A992D1A1-6246-4E04-8AA4-93C7AD5BFBF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2.8pt;width:21.7pt;mso-position-horizontal:center;mso-position-horizontal-relative:margin;z-index:251659264;mso-width-relative:page;mso-height-relative:page;" filled="f" stroked="f" coordsize="21600,21600">
          <v:path/>
          <v:fill on="f" focussize="0,0"/>
          <v:stroke on="f" joinstyle="miter"/>
          <v:imagedata o:title=""/>
          <o:lock v:ext="edit"/>
          <v:textbox inset="0mm,0mm,0mm,0mm">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0D011"/>
    <w:multiLevelType w:val="singleLevel"/>
    <w:tmpl w:val="9170D011"/>
    <w:lvl w:ilvl="0" w:tentative="0">
      <w:start w:val="1"/>
      <w:numFmt w:val="decimal"/>
      <w:suff w:val="nothing"/>
      <w:lvlText w:val="（%1）"/>
      <w:lvlJc w:val="left"/>
    </w:lvl>
  </w:abstractNum>
  <w:abstractNum w:abstractNumId="1">
    <w:nsid w:val="9288B902"/>
    <w:multiLevelType w:val="singleLevel"/>
    <w:tmpl w:val="9288B902"/>
    <w:lvl w:ilvl="0" w:tentative="0">
      <w:start w:val="1"/>
      <w:numFmt w:val="bullet"/>
      <w:lvlText w:val="•"/>
      <w:lvlJc w:val="left"/>
    </w:lvl>
  </w:abstractNum>
  <w:abstractNum w:abstractNumId="2">
    <w:nsid w:val="A9ABC13A"/>
    <w:multiLevelType w:val="singleLevel"/>
    <w:tmpl w:val="A9ABC13A"/>
    <w:lvl w:ilvl="0" w:tentative="0">
      <w:start w:val="1"/>
      <w:numFmt w:val="decimal"/>
      <w:suff w:val="nothing"/>
      <w:lvlText w:val="（%1）"/>
      <w:lvlJc w:val="left"/>
    </w:lvl>
  </w:abstractNum>
  <w:abstractNum w:abstractNumId="3">
    <w:nsid w:val="C1D4255E"/>
    <w:multiLevelType w:val="singleLevel"/>
    <w:tmpl w:val="C1D4255E"/>
    <w:lvl w:ilvl="0" w:tentative="0">
      <w:start w:val="1"/>
      <w:numFmt w:val="decimal"/>
      <w:suff w:val="nothing"/>
      <w:lvlText w:val="（%1）"/>
      <w:lvlJc w:val="left"/>
    </w:lvl>
  </w:abstractNum>
  <w:abstractNum w:abstractNumId="4">
    <w:nsid w:val="D2A6C39B"/>
    <w:multiLevelType w:val="singleLevel"/>
    <w:tmpl w:val="D2A6C39B"/>
    <w:lvl w:ilvl="0" w:tentative="0">
      <w:start w:val="1"/>
      <w:numFmt w:val="decimal"/>
      <w:suff w:val="nothing"/>
      <w:lvlText w:val="（%1）"/>
      <w:lvlJc w:val="left"/>
    </w:lvl>
  </w:abstractNum>
  <w:abstractNum w:abstractNumId="5">
    <w:nsid w:val="16947904"/>
    <w:multiLevelType w:val="singleLevel"/>
    <w:tmpl w:val="16947904"/>
    <w:lvl w:ilvl="0" w:tentative="0">
      <w:start w:val="1"/>
      <w:numFmt w:val="decimal"/>
      <w:suff w:val="nothing"/>
      <w:lvlText w:val="（%1）"/>
      <w:lvlJc w:val="left"/>
    </w:lvl>
  </w:abstractNum>
  <w:abstractNum w:abstractNumId="6">
    <w:nsid w:val="180143B3"/>
    <w:multiLevelType w:val="singleLevel"/>
    <w:tmpl w:val="180143B3"/>
    <w:lvl w:ilvl="0" w:tentative="0">
      <w:start w:val="1"/>
      <w:numFmt w:val="decimal"/>
      <w:suff w:val="nothing"/>
      <w:lvlText w:val="（%1）"/>
      <w:lvlJc w:val="left"/>
    </w:lvl>
  </w:abstractNum>
  <w:abstractNum w:abstractNumId="7">
    <w:nsid w:val="39A0D9AC"/>
    <w:multiLevelType w:val="singleLevel"/>
    <w:tmpl w:val="39A0D9AC"/>
    <w:lvl w:ilvl="0" w:tentative="0">
      <w:start w:val="1"/>
      <w:numFmt w:val="bullet"/>
      <w:lvlText w:val="•"/>
      <w:lvlJc w:val="left"/>
    </w:lvl>
  </w:abstractNum>
  <w:abstractNum w:abstractNumId="8">
    <w:nsid w:val="4BA7B5E6"/>
    <w:multiLevelType w:val="singleLevel"/>
    <w:tmpl w:val="4BA7B5E6"/>
    <w:lvl w:ilvl="0" w:tentative="0">
      <w:start w:val="1"/>
      <w:numFmt w:val="decimal"/>
      <w:suff w:val="nothing"/>
      <w:lvlText w:val="（%1）"/>
      <w:lvlJc w:val="left"/>
    </w:lvl>
  </w:abstractNum>
  <w:abstractNum w:abstractNumId="9">
    <w:nsid w:val="5FC403CE"/>
    <w:multiLevelType w:val="singleLevel"/>
    <w:tmpl w:val="5FC403CE"/>
    <w:lvl w:ilvl="0" w:tentative="0">
      <w:start w:val="1"/>
      <w:numFmt w:val="decimal"/>
      <w:suff w:val="nothing"/>
      <w:lvlText w:val="（%1）"/>
      <w:lvlJc w:val="left"/>
    </w:lvl>
  </w:abstractNum>
  <w:abstractNum w:abstractNumId="10">
    <w:nsid w:val="629F7852"/>
    <w:multiLevelType w:val="singleLevel"/>
    <w:tmpl w:val="629F7852"/>
    <w:lvl w:ilvl="0" w:tentative="0">
      <w:start w:val="1"/>
      <w:numFmt w:val="decimal"/>
      <w:lvlText w:val="%1."/>
      <w:lvlJc w:val="left"/>
    </w:lvl>
  </w:abstractNum>
  <w:abstractNum w:abstractNumId="11">
    <w:nsid w:val="6F07545E"/>
    <w:multiLevelType w:val="singleLevel"/>
    <w:tmpl w:val="6F07545E"/>
    <w:lvl w:ilvl="0" w:tentative="0">
      <w:start w:val="1"/>
      <w:numFmt w:val="decimal"/>
      <w:suff w:val="nothing"/>
      <w:lvlText w:val="（%1）"/>
      <w:lvlJc w:val="left"/>
    </w:lvl>
  </w:abstractNum>
  <w:abstractNum w:abstractNumId="12">
    <w:nsid w:val="7C246926"/>
    <w:multiLevelType w:val="singleLevel"/>
    <w:tmpl w:val="7C246926"/>
    <w:lvl w:ilvl="0" w:tentative="0">
      <w:start w:val="1"/>
      <w:numFmt w:val="decimal"/>
      <w:lvlText w:val="%1."/>
      <w:lvlJc w:val="left"/>
    </w:lvl>
  </w:abstractNum>
  <w:abstractNum w:abstractNumId="13">
    <w:nsid w:val="7DB9E1E3"/>
    <w:multiLevelType w:val="singleLevel"/>
    <w:tmpl w:val="7DB9E1E3"/>
    <w:lvl w:ilvl="0" w:tentative="0">
      <w:start w:val="1"/>
      <w:numFmt w:val="decimal"/>
      <w:suff w:val="nothing"/>
      <w:lvlText w:val="（%1）"/>
      <w:lvlJc w:val="left"/>
    </w:lvl>
  </w:abstractNum>
  <w:num w:numId="1">
    <w:abstractNumId w:val="12"/>
  </w:num>
  <w:num w:numId="2">
    <w:abstractNumId w:val="0"/>
  </w:num>
  <w:num w:numId="3">
    <w:abstractNumId w:val="6"/>
  </w:num>
  <w:num w:numId="4">
    <w:abstractNumId w:val="5"/>
  </w:num>
  <w:num w:numId="5">
    <w:abstractNumId w:val="11"/>
  </w:num>
  <w:num w:numId="6">
    <w:abstractNumId w:val="3"/>
  </w:num>
  <w:num w:numId="7">
    <w:abstractNumId w:val="2"/>
  </w:num>
  <w:num w:numId="8">
    <w:abstractNumId w:val="8"/>
  </w:num>
  <w:num w:numId="9">
    <w:abstractNumId w:val="13"/>
  </w:num>
  <w:num w:numId="10">
    <w:abstractNumId w:val="4"/>
  </w:num>
  <w:num w:numId="11">
    <w:abstractNumId w:val="9"/>
  </w:num>
  <w:num w:numId="12">
    <w:abstractNumId w:val="10"/>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splitPgBreakAndParaMark/>
    <w:compatSetting w:name="compatibilityMode" w:uri="http://schemas.microsoft.com/office/word" w:val="12"/>
  </w:compat>
  <w:docVars>
    <w:docVar w:name="commondata" w:val="eyJoZGlkIjoiMWJmYmVhMGQ2YWQwOTc0ZDFkYmVkZTE0NzFkNThlYzIifQ=="/>
  </w:docVars>
  <w:rsids>
    <w:rsidRoot w:val="00E20B17"/>
    <w:rsid w:val="00023DAA"/>
    <w:rsid w:val="000C4167"/>
    <w:rsid w:val="00103A5E"/>
    <w:rsid w:val="00153D77"/>
    <w:rsid w:val="001907D0"/>
    <w:rsid w:val="001F610C"/>
    <w:rsid w:val="001F670C"/>
    <w:rsid w:val="00272BAC"/>
    <w:rsid w:val="00323CB9"/>
    <w:rsid w:val="00332D95"/>
    <w:rsid w:val="00341EBD"/>
    <w:rsid w:val="003673C2"/>
    <w:rsid w:val="003908BD"/>
    <w:rsid w:val="003965E9"/>
    <w:rsid w:val="003A1DEB"/>
    <w:rsid w:val="00404D72"/>
    <w:rsid w:val="00410AA8"/>
    <w:rsid w:val="0059637F"/>
    <w:rsid w:val="00654D39"/>
    <w:rsid w:val="00663AB9"/>
    <w:rsid w:val="006712E0"/>
    <w:rsid w:val="006E642A"/>
    <w:rsid w:val="00743131"/>
    <w:rsid w:val="00756030"/>
    <w:rsid w:val="0077530D"/>
    <w:rsid w:val="0078351D"/>
    <w:rsid w:val="007C5276"/>
    <w:rsid w:val="007F08FB"/>
    <w:rsid w:val="007F4352"/>
    <w:rsid w:val="00826938"/>
    <w:rsid w:val="00857322"/>
    <w:rsid w:val="00881908"/>
    <w:rsid w:val="00916C78"/>
    <w:rsid w:val="00922D7F"/>
    <w:rsid w:val="00AA34C1"/>
    <w:rsid w:val="00AB3231"/>
    <w:rsid w:val="00AF1BAF"/>
    <w:rsid w:val="00B24F8F"/>
    <w:rsid w:val="00B35CF3"/>
    <w:rsid w:val="00B35E0C"/>
    <w:rsid w:val="00B45303"/>
    <w:rsid w:val="00B54CB7"/>
    <w:rsid w:val="00B80314"/>
    <w:rsid w:val="00BA5E6B"/>
    <w:rsid w:val="00BC47FA"/>
    <w:rsid w:val="00BD5E8D"/>
    <w:rsid w:val="00C3561B"/>
    <w:rsid w:val="00C652B8"/>
    <w:rsid w:val="00D04B99"/>
    <w:rsid w:val="00DF5F04"/>
    <w:rsid w:val="00E20B17"/>
    <w:rsid w:val="00E24619"/>
    <w:rsid w:val="00E30092"/>
    <w:rsid w:val="00E3416C"/>
    <w:rsid w:val="00E51256"/>
    <w:rsid w:val="00EF2EEE"/>
    <w:rsid w:val="00F02AAE"/>
    <w:rsid w:val="00F03784"/>
    <w:rsid w:val="00F27DED"/>
    <w:rsid w:val="00F66F93"/>
    <w:rsid w:val="00F936AC"/>
    <w:rsid w:val="00FB2510"/>
    <w:rsid w:val="00FF50D9"/>
    <w:rsid w:val="035813B8"/>
    <w:rsid w:val="03931083"/>
    <w:rsid w:val="04640B52"/>
    <w:rsid w:val="05A5591B"/>
    <w:rsid w:val="06812F3B"/>
    <w:rsid w:val="0AC769A1"/>
    <w:rsid w:val="0C4A0F50"/>
    <w:rsid w:val="1484072D"/>
    <w:rsid w:val="190A277E"/>
    <w:rsid w:val="19133E1B"/>
    <w:rsid w:val="19BA6942"/>
    <w:rsid w:val="1BF61CFC"/>
    <w:rsid w:val="1F35597B"/>
    <w:rsid w:val="21076199"/>
    <w:rsid w:val="26F82E1C"/>
    <w:rsid w:val="271E747A"/>
    <w:rsid w:val="2CBB5CE4"/>
    <w:rsid w:val="301C2301"/>
    <w:rsid w:val="3436271A"/>
    <w:rsid w:val="3A654B5F"/>
    <w:rsid w:val="3B0A71ED"/>
    <w:rsid w:val="44C30432"/>
    <w:rsid w:val="4500458C"/>
    <w:rsid w:val="4A2A0466"/>
    <w:rsid w:val="5D0128BF"/>
    <w:rsid w:val="5DD53033"/>
    <w:rsid w:val="624B5761"/>
    <w:rsid w:val="63D70E99"/>
    <w:rsid w:val="747C5A5B"/>
    <w:rsid w:val="74992CD1"/>
    <w:rsid w:val="76B114C6"/>
    <w:rsid w:val="777A1A15"/>
    <w:rsid w:val="7C185920"/>
    <w:rsid w:val="7F427C3D"/>
    <w:rsid w:val="7FAE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ascii="Times New Roman" w:hAnsi="Times New Roman" w:eastAsia="宋体" w:cs="Times New Roman"/>
      <w:kern w:val="2"/>
      <w:szCs w:val="24"/>
    </w:rPr>
  </w:style>
  <w:style w:type="paragraph" w:styleId="3">
    <w:name w:val="caption"/>
    <w:basedOn w:val="1"/>
    <w:next w:val="1"/>
    <w:qFormat/>
    <w:uiPriority w:val="0"/>
    <w:rPr>
      <w:rFonts w:ascii="Cambria" w:hAnsi="Cambria" w:eastAsia="黑体"/>
      <w:sz w:val="20"/>
    </w:rPr>
  </w:style>
  <w:style w:type="paragraph" w:styleId="4">
    <w:name w:val="Body Text"/>
    <w:basedOn w:val="1"/>
    <w:link w:val="18"/>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99"/>
    <w:pPr>
      <w:widowControl/>
      <w:spacing w:before="100" w:beforeAutospacing="1" w:after="100" w:afterAutospacing="1"/>
      <w:jc w:val="left"/>
    </w:pPr>
    <w:rPr>
      <w:rFonts w:ascii="宋体" w:hAnsi="宋体"/>
      <w:sz w:val="24"/>
      <w:szCs w:val="24"/>
    </w:rPr>
  </w:style>
  <w:style w:type="paragraph" w:styleId="8">
    <w:name w:val="Body Text First Indent"/>
    <w:basedOn w:val="4"/>
    <w:link w:val="19"/>
    <w:unhideWhenUsed/>
    <w:qFormat/>
    <w:uiPriority w:val="0"/>
    <w:pPr>
      <w:ind w:firstLine="420" w:firstLineChars="100"/>
    </w:pPr>
    <w:rPr>
      <w:rFonts w:ascii="Calibri" w:hAnsi="Calibri" w:eastAsia="宋体" w:cs="Times New Roman"/>
      <w:kern w:val="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paragraph" w:customStyle="1" w:styleId="13">
    <w:name w:val="BodyText1I"/>
    <w:basedOn w:val="14"/>
    <w:qFormat/>
    <w:uiPriority w:val="99"/>
    <w:pPr>
      <w:ind w:firstLine="420" w:firstLineChars="100"/>
    </w:pPr>
  </w:style>
  <w:style w:type="paragraph" w:customStyle="1" w:styleId="14">
    <w:name w:val="BodyText"/>
    <w:basedOn w:val="1"/>
    <w:qFormat/>
    <w:uiPriority w:val="99"/>
    <w:pPr>
      <w:spacing w:after="120"/>
    </w:pPr>
  </w:style>
  <w:style w:type="paragraph" w:customStyle="1" w:styleId="15">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 w:type="character" w:customStyle="1" w:styleId="17">
    <w:name w:val="font31"/>
    <w:basedOn w:val="11"/>
    <w:qFormat/>
    <w:uiPriority w:val="0"/>
    <w:rPr>
      <w:rFonts w:hint="eastAsia" w:ascii="宋体" w:hAnsi="宋体" w:eastAsia="宋体" w:cs="宋体"/>
      <w:color w:val="000000"/>
      <w:sz w:val="24"/>
      <w:szCs w:val="24"/>
      <w:u w:val="none"/>
      <w:vertAlign w:val="superscript"/>
    </w:rPr>
  </w:style>
  <w:style w:type="character" w:customStyle="1" w:styleId="18">
    <w:name w:val="正文文本 字符"/>
    <w:basedOn w:val="11"/>
    <w:link w:val="4"/>
    <w:qFormat/>
    <w:uiPriority w:val="0"/>
    <w:rPr>
      <w:sz w:val="21"/>
      <w:szCs w:val="22"/>
    </w:rPr>
  </w:style>
  <w:style w:type="character" w:customStyle="1" w:styleId="19">
    <w:name w:val="正文文本首行缩进 字符"/>
    <w:basedOn w:val="18"/>
    <w:link w:val="8"/>
    <w:qFormat/>
    <w:uiPriority w:val="0"/>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69</Pages>
  <Words>36263</Words>
  <Characters>39049</Characters>
  <Lines>1550</Lines>
  <Paragraphs>1354</Paragraphs>
  <TotalTime>18</TotalTime>
  <ScaleCrop>false</ScaleCrop>
  <LinksUpToDate>false</LinksUpToDate>
  <CharactersWithSpaces>40132</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枫</cp:lastModifiedBy>
  <dcterms:modified xsi:type="dcterms:W3CDTF">2025-09-30T08:49:53Z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C17062F0C12B4DEABC74939960AD8055</vt:lpwstr>
  </property>
  <property fmtid="{D5CDD505-2E9C-101B-9397-08002B2CF9AE}" pid="4" name="KSOTemplateDocerSaveRecord">
    <vt:lpwstr>eyJoZGlkIjoiZDg3NDdhZjgxMzEyOWNjZWQ4YzczMmZjYjdmOWE1ZWIifQ==</vt:lpwstr>
  </property>
</Properties>
</file>